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600" w:lineRule="exact"/>
        <w:rPr>
          <w:rFonts w:hint="eastAsia" w:ascii="仿宋" w:hAnsi="仿宋" w:eastAsia="仿宋" w:cs="仿宋"/>
          <w:kern w:val="2"/>
          <w:sz w:val="32"/>
          <w:szCs w:val="32"/>
        </w:rPr>
      </w:pPr>
      <w:bookmarkStart w:id="0" w:name="_GoBack"/>
      <w:bookmarkEnd w:id="0"/>
      <w:r>
        <w:rPr>
          <w:rFonts w:hint="eastAsia" w:ascii="仿宋" w:hAnsi="仿宋" w:eastAsia="仿宋" w:cs="仿宋"/>
          <w:kern w:val="2"/>
          <w:sz w:val="32"/>
          <w:szCs w:val="32"/>
        </w:rPr>
        <w:t>附件</w:t>
      </w:r>
    </w:p>
    <w:p>
      <w:pPr>
        <w:pStyle w:val="4"/>
        <w:spacing w:before="0" w:beforeAutospacing="0" w:after="0" w:afterAutospacing="0" w:line="600" w:lineRule="exact"/>
        <w:rPr>
          <w:rFonts w:hint="eastAsia" w:ascii="仿宋" w:hAnsi="仿宋" w:eastAsia="仿宋" w:cs="仿宋"/>
          <w:kern w:val="2"/>
          <w:sz w:val="32"/>
          <w:szCs w:val="32"/>
        </w:rPr>
      </w:pPr>
    </w:p>
    <w:p>
      <w:pPr>
        <w:pStyle w:val="4"/>
        <w:spacing w:before="0" w:beforeAutospacing="0" w:after="0" w:afterAutospacing="0" w:line="600" w:lineRule="exact"/>
        <w:jc w:val="center"/>
        <w:rPr>
          <w:rStyle w:val="7"/>
          <w:rFonts w:hint="eastAsia" w:ascii="华文中宋" w:hAnsi="华文中宋" w:eastAsia="华文中宋" w:cs="Times New Roman"/>
          <w:b/>
          <w:kern w:val="2"/>
          <w:sz w:val="44"/>
          <w:szCs w:val="44"/>
        </w:rPr>
      </w:pPr>
      <w:r>
        <w:rPr>
          <w:rStyle w:val="7"/>
          <w:rFonts w:hint="eastAsia" w:ascii="华文中宋" w:hAnsi="华文中宋" w:eastAsia="华文中宋" w:cs="Times New Roman"/>
          <w:b/>
          <w:kern w:val="2"/>
          <w:sz w:val="44"/>
          <w:szCs w:val="44"/>
        </w:rPr>
        <w:t>四川省房屋建筑和市政基础设施项目</w:t>
      </w:r>
    </w:p>
    <w:p>
      <w:pPr>
        <w:pStyle w:val="4"/>
        <w:spacing w:before="0" w:beforeAutospacing="0" w:after="0" w:afterAutospacing="0" w:line="600" w:lineRule="exact"/>
        <w:jc w:val="center"/>
        <w:rPr>
          <w:rStyle w:val="7"/>
          <w:sz w:val="44"/>
          <w:szCs w:val="44"/>
        </w:rPr>
      </w:pPr>
      <w:r>
        <w:rPr>
          <w:rStyle w:val="7"/>
          <w:rFonts w:hint="eastAsia" w:ascii="华文中宋" w:hAnsi="华文中宋" w:eastAsia="华文中宋" w:cs="Times New Roman"/>
          <w:b/>
          <w:kern w:val="2"/>
          <w:sz w:val="44"/>
          <w:szCs w:val="44"/>
        </w:rPr>
        <w:t>工程总承包推进</w:t>
      </w:r>
      <w:r>
        <w:rPr>
          <w:rStyle w:val="7"/>
          <w:rFonts w:ascii="华文中宋" w:hAnsi="华文中宋" w:eastAsia="华文中宋" w:cs="Times New Roman"/>
          <w:b/>
          <w:kern w:val="2"/>
          <w:sz w:val="44"/>
          <w:szCs w:val="44"/>
        </w:rPr>
        <w:t>工作方案</w:t>
      </w:r>
    </w:p>
    <w:p>
      <w:pPr>
        <w:spacing w:line="600" w:lineRule="exact"/>
        <w:rPr>
          <w:rFonts w:ascii="仿宋" w:hAnsi="仿宋" w:eastAsia="仿宋" w:cs="仿宋"/>
          <w:sz w:val="32"/>
          <w:szCs w:val="32"/>
        </w:rPr>
      </w:pPr>
    </w:p>
    <w:p>
      <w:pPr>
        <w:spacing w:line="600" w:lineRule="exact"/>
        <w:ind w:firstLine="640" w:firstLineChars="200"/>
        <w:rPr>
          <w:rFonts w:hint="eastAsia" w:ascii="仿宋" w:hAnsi="仿宋" w:eastAsia="仿宋" w:cs="仿宋_GB2312"/>
          <w:sz w:val="32"/>
          <w:szCs w:val="32"/>
        </w:rPr>
      </w:pPr>
      <w:r>
        <w:rPr>
          <w:rFonts w:hint="eastAsia" w:ascii="仿宋" w:hAnsi="仿宋" w:eastAsia="仿宋" w:cs="仿宋"/>
          <w:sz w:val="32"/>
          <w:szCs w:val="32"/>
        </w:rPr>
        <w:t>为贯彻落实</w:t>
      </w:r>
      <w:r>
        <w:rPr>
          <w:rFonts w:hint="eastAsia" w:ascii="仿宋" w:hAnsi="仿宋" w:eastAsia="仿宋" w:cs="仿宋_GB2312"/>
          <w:sz w:val="32"/>
          <w:szCs w:val="32"/>
        </w:rPr>
        <w:t>《</w:t>
      </w:r>
      <w:r>
        <w:rPr>
          <w:rFonts w:ascii="仿宋" w:hAnsi="仿宋" w:eastAsia="仿宋" w:cs="仿宋_GB2312"/>
          <w:sz w:val="32"/>
          <w:szCs w:val="32"/>
        </w:rPr>
        <w:t>四川省人民政府办公厅关于推动四川建筑业高质量发展的实施意见</w:t>
      </w:r>
      <w:r>
        <w:rPr>
          <w:rFonts w:hint="eastAsia" w:ascii="仿宋" w:hAnsi="仿宋" w:eastAsia="仿宋" w:cs="仿宋_GB2312"/>
          <w:sz w:val="32"/>
          <w:szCs w:val="32"/>
        </w:rPr>
        <w:t>》（</w:t>
      </w:r>
      <w:r>
        <w:rPr>
          <w:rFonts w:ascii="仿宋" w:hAnsi="仿宋" w:eastAsia="仿宋" w:cs="仿宋_GB2312"/>
          <w:sz w:val="32"/>
          <w:szCs w:val="32"/>
        </w:rPr>
        <w:t>川办发〔2019〕54号</w:t>
      </w:r>
      <w:r>
        <w:rPr>
          <w:rFonts w:hint="eastAsia" w:ascii="仿宋" w:hAnsi="仿宋" w:eastAsia="仿宋" w:cs="仿宋_GB2312"/>
          <w:sz w:val="32"/>
          <w:szCs w:val="32"/>
        </w:rPr>
        <w:t>），</w:t>
      </w:r>
      <w:r>
        <w:rPr>
          <w:rFonts w:hAnsi="仿宋" w:eastAsia="仿宋"/>
          <w:spacing w:val="2"/>
          <w:sz w:val="32"/>
          <w:szCs w:val="32"/>
        </w:rPr>
        <w:t>加快</w:t>
      </w:r>
      <w:r>
        <w:rPr>
          <w:rFonts w:ascii="仿宋" w:hAnsi="仿宋" w:eastAsia="仿宋" w:cs="仿宋_GB2312"/>
          <w:sz w:val="32"/>
          <w:szCs w:val="32"/>
        </w:rPr>
        <w:t>推进</w:t>
      </w:r>
      <w:r>
        <w:rPr>
          <w:rFonts w:hint="eastAsia" w:ascii="仿宋" w:hAnsi="仿宋" w:eastAsia="仿宋" w:cs="仿宋_GB2312"/>
          <w:sz w:val="32"/>
          <w:szCs w:val="32"/>
        </w:rPr>
        <w:t>工程</w:t>
      </w:r>
      <w:r>
        <w:rPr>
          <w:rFonts w:ascii="仿宋" w:hAnsi="仿宋" w:eastAsia="仿宋" w:cs="仿宋_GB2312"/>
          <w:sz w:val="32"/>
          <w:szCs w:val="32"/>
        </w:rPr>
        <w:t>建设组织实施方式改革，</w:t>
      </w:r>
      <w:r>
        <w:rPr>
          <w:rFonts w:hint="eastAsia" w:ascii="仿宋" w:hAnsi="仿宋" w:eastAsia="仿宋" w:cs="仿宋_GB2312"/>
          <w:sz w:val="32"/>
          <w:szCs w:val="32"/>
        </w:rPr>
        <w:t>提升建设工程质量和效益，按照《四川省房屋建筑和市政基础设施项目工程总承包管理办法》（以下简称《管理办法》）</w:t>
      </w:r>
      <w:r>
        <w:rPr>
          <w:rFonts w:hint="eastAsia" w:ascii="仿宋" w:hAnsi="仿宋" w:eastAsia="仿宋" w:cs="仿宋"/>
          <w:sz w:val="32"/>
          <w:szCs w:val="32"/>
        </w:rPr>
        <w:t>，</w:t>
      </w:r>
      <w:r>
        <w:rPr>
          <w:rFonts w:hint="eastAsia" w:ascii="仿宋" w:hAnsi="仿宋" w:eastAsia="仿宋" w:cs="仿宋_GB2312"/>
          <w:sz w:val="32"/>
          <w:szCs w:val="32"/>
        </w:rPr>
        <w:t>制定本工作方案。</w:t>
      </w:r>
    </w:p>
    <w:p>
      <w:pPr>
        <w:spacing w:line="600" w:lineRule="exact"/>
        <w:ind w:firstLine="640" w:firstLineChars="200"/>
        <w:rPr>
          <w:rFonts w:ascii="仿宋" w:hAnsi="仿宋" w:eastAsia="仿宋" w:cs="仿宋"/>
          <w:sz w:val="32"/>
          <w:szCs w:val="32"/>
        </w:rPr>
      </w:pPr>
      <w:r>
        <w:rPr>
          <w:rFonts w:hint="eastAsia" w:ascii="黑体" w:hAnsi="黑体" w:eastAsia="黑体" w:cs="宋体"/>
          <w:kern w:val="0"/>
          <w:sz w:val="32"/>
          <w:szCs w:val="32"/>
        </w:rPr>
        <w:t>一、指导思想</w:t>
      </w:r>
    </w:p>
    <w:p>
      <w:pPr>
        <w:pStyle w:val="8"/>
        <w:spacing w:line="600" w:lineRule="exact"/>
        <w:ind w:firstLine="640" w:firstLineChars="200"/>
        <w:jc w:val="left"/>
        <w:rPr>
          <w:rFonts w:hint="eastAsia" w:ascii="仿宋" w:hAnsi="仿宋" w:eastAsia="仿宋" w:cs="仿宋"/>
          <w:sz w:val="32"/>
          <w:szCs w:val="32"/>
        </w:rPr>
      </w:pPr>
      <w:r>
        <w:rPr>
          <w:rFonts w:hint="eastAsia" w:ascii="仿宋" w:hAnsi="仿宋" w:eastAsia="仿宋" w:cs="仿宋_GB2312"/>
          <w:sz w:val="32"/>
          <w:szCs w:val="32"/>
        </w:rPr>
        <w:t>深入贯彻落实省委省政府高质量发展的决策部署，坚持新发展理念</w:t>
      </w:r>
      <w:r>
        <w:rPr>
          <w:rFonts w:ascii="仿宋" w:hAnsi="仿宋" w:eastAsia="仿宋" w:cs="仿宋"/>
          <w:sz w:val="32"/>
          <w:szCs w:val="32"/>
        </w:rPr>
        <w:t>，</w:t>
      </w:r>
      <w:r>
        <w:rPr>
          <w:rFonts w:ascii="Times New Roman" w:hAnsi="Times New Roman" w:eastAsia="仿宋"/>
          <w:sz w:val="32"/>
          <w:szCs w:val="32"/>
        </w:rPr>
        <w:t>深化建筑业供给侧结构性改革，</w:t>
      </w:r>
      <w:r>
        <w:rPr>
          <w:rFonts w:ascii="仿宋" w:hAnsi="仿宋" w:eastAsia="仿宋" w:cs="仿宋_GB2312"/>
          <w:sz w:val="32"/>
          <w:szCs w:val="32"/>
        </w:rPr>
        <w:t>加快</w:t>
      </w:r>
      <w:r>
        <w:rPr>
          <w:rFonts w:hint="eastAsia" w:ascii="仿宋" w:hAnsi="仿宋" w:eastAsia="仿宋" w:cs="仿宋_GB2312"/>
          <w:sz w:val="32"/>
          <w:szCs w:val="32"/>
        </w:rPr>
        <w:t>工程</w:t>
      </w:r>
      <w:r>
        <w:rPr>
          <w:rFonts w:ascii="仿宋" w:hAnsi="仿宋" w:eastAsia="仿宋" w:cs="仿宋_GB2312"/>
          <w:sz w:val="32"/>
          <w:szCs w:val="32"/>
        </w:rPr>
        <w:t>建设组织实施方式</w:t>
      </w:r>
      <w:r>
        <w:rPr>
          <w:rFonts w:hint="eastAsia" w:ascii="仿宋" w:hAnsi="仿宋" w:eastAsia="仿宋" w:cs="仿宋_GB2312"/>
          <w:sz w:val="32"/>
          <w:szCs w:val="32"/>
        </w:rPr>
        <w:t>改革，支持建筑企业向工程总承包企业转型发展</w:t>
      </w:r>
      <w:r>
        <w:rPr>
          <w:rFonts w:hint="eastAsia" w:ascii="仿宋" w:hAnsi="仿宋" w:eastAsia="仿宋" w:cs="仿宋"/>
          <w:sz w:val="32"/>
          <w:szCs w:val="32"/>
        </w:rPr>
        <w:t>，加强工程总承包企业综合能力培育，发展工程总承包市场，</w:t>
      </w:r>
      <w:r>
        <w:rPr>
          <w:rFonts w:hint="eastAsia" w:ascii="仿宋" w:hAnsi="仿宋" w:eastAsia="仿宋" w:cs="仿宋_GB2312"/>
          <w:sz w:val="32"/>
          <w:szCs w:val="32"/>
        </w:rPr>
        <w:t>提升建设工程质量和效益，</w:t>
      </w:r>
      <w:r>
        <w:rPr>
          <w:rFonts w:hint="eastAsia" w:ascii="仿宋" w:hAnsi="仿宋" w:eastAsia="仿宋" w:cs="仿宋"/>
          <w:sz w:val="32"/>
          <w:szCs w:val="32"/>
        </w:rPr>
        <w:t>促进建筑业结构调整和转型升级，推动建筑业高质量发展，努力实现由建筑大省向建筑强省跨越。</w:t>
      </w:r>
    </w:p>
    <w:p>
      <w:pPr>
        <w:spacing w:line="60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二、工作目标</w:t>
      </w:r>
    </w:p>
    <w:p>
      <w:pPr>
        <w:spacing w:line="60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以深化</w:t>
      </w:r>
      <w:r>
        <w:rPr>
          <w:rFonts w:hint="eastAsia" w:ascii="仿宋" w:hAnsi="仿宋" w:eastAsia="仿宋" w:cs="黑体"/>
          <w:sz w:val="32"/>
          <w:szCs w:val="32"/>
        </w:rPr>
        <w:t>建筑业供给侧结构性改革为主线，</w:t>
      </w:r>
      <w:r>
        <w:rPr>
          <w:rFonts w:hint="eastAsia" w:ascii="仿宋" w:hAnsi="仿宋" w:eastAsia="仿宋" w:cs="仿宋_GB2312"/>
          <w:sz w:val="32"/>
          <w:szCs w:val="32"/>
        </w:rPr>
        <w:t>以质量效益为前提，以市场需求为导向，大力推进工程总承包发展，支持具备条件的工程设计、建筑业企业积极开展工程总承包。营造鼓励发展工程总承包发展的市场环境，增强工程总承包发展动力，提升企业工程总承包综合管理能力和水平，加快培育工程总承包骨干企业。到2022年，培育100家工程总承包骨干企业，发挥其引领示范作用。到2025年，</w:t>
      </w:r>
      <w:r>
        <w:rPr>
          <w:rFonts w:ascii="仿宋" w:hAnsi="仿宋" w:eastAsia="仿宋" w:cs="仿宋_GB2312"/>
          <w:sz w:val="32"/>
          <w:szCs w:val="32"/>
        </w:rPr>
        <w:t>培育</w:t>
      </w:r>
      <w:r>
        <w:rPr>
          <w:rFonts w:hint="eastAsia" w:ascii="仿宋" w:hAnsi="仿宋" w:eastAsia="仿宋" w:cs="仿宋_GB2312"/>
          <w:sz w:val="32"/>
          <w:szCs w:val="32"/>
        </w:rPr>
        <w:t>30</w:t>
      </w:r>
      <w:r>
        <w:rPr>
          <w:rFonts w:ascii="仿宋" w:hAnsi="仿宋" w:eastAsia="仿宋" w:cs="仿宋_GB2312"/>
          <w:sz w:val="32"/>
          <w:szCs w:val="32"/>
        </w:rPr>
        <w:t>0家工程总承包</w:t>
      </w:r>
      <w:r>
        <w:rPr>
          <w:rFonts w:hint="eastAsia" w:ascii="仿宋" w:hAnsi="仿宋" w:eastAsia="仿宋" w:cs="仿宋_GB2312"/>
          <w:sz w:val="32"/>
          <w:szCs w:val="32"/>
        </w:rPr>
        <w:t>骨干</w:t>
      </w:r>
      <w:r>
        <w:rPr>
          <w:rFonts w:ascii="仿宋" w:hAnsi="仿宋" w:eastAsia="仿宋" w:cs="仿宋_GB2312"/>
          <w:sz w:val="32"/>
          <w:szCs w:val="32"/>
        </w:rPr>
        <w:t>企业</w:t>
      </w:r>
      <w:r>
        <w:rPr>
          <w:rFonts w:hint="eastAsia" w:ascii="仿宋" w:hAnsi="仿宋" w:eastAsia="仿宋" w:cs="仿宋_GB2312"/>
          <w:sz w:val="32"/>
          <w:szCs w:val="32"/>
        </w:rPr>
        <w:t>，工程总承包市场基本形成。</w:t>
      </w:r>
    </w:p>
    <w:p>
      <w:pPr>
        <w:pStyle w:val="8"/>
        <w:spacing w:line="600" w:lineRule="exact"/>
        <w:ind w:firstLine="640" w:firstLineChars="200"/>
        <w:jc w:val="left"/>
        <w:rPr>
          <w:rFonts w:hint="eastAsia" w:ascii="黑体" w:hAnsi="黑体" w:eastAsia="黑体" w:cs="宋体"/>
          <w:sz w:val="32"/>
          <w:szCs w:val="32"/>
        </w:rPr>
      </w:pPr>
      <w:r>
        <w:rPr>
          <w:rFonts w:hint="eastAsia" w:ascii="黑体" w:hAnsi="黑体" w:eastAsia="黑体" w:cs="宋体"/>
          <w:sz w:val="32"/>
          <w:szCs w:val="32"/>
        </w:rPr>
        <w:t>三、工作内容</w:t>
      </w:r>
    </w:p>
    <w:p>
      <w:pPr>
        <w:widowControl/>
        <w:shd w:val="clear" w:color="auto" w:fill="FFFFFF"/>
        <w:spacing w:line="600" w:lineRule="exact"/>
        <w:ind w:firstLine="480"/>
        <w:jc w:val="left"/>
        <w:rPr>
          <w:rFonts w:hint="eastAsia" w:ascii="仿宋" w:hAnsi="仿宋" w:eastAsia="仿宋" w:cs="仿宋_GB2312"/>
          <w:b/>
          <w:sz w:val="32"/>
          <w:szCs w:val="32"/>
        </w:rPr>
      </w:pPr>
      <w:r>
        <w:rPr>
          <w:rFonts w:hint="eastAsia" w:ascii="仿宋" w:hAnsi="仿宋" w:eastAsia="仿宋" w:cs="仿宋_GB2312"/>
          <w:sz w:val="32"/>
          <w:szCs w:val="32"/>
        </w:rPr>
        <w:t xml:space="preserve"> </w:t>
      </w:r>
      <w:r>
        <w:rPr>
          <w:rFonts w:hint="eastAsia" w:ascii="仿宋" w:hAnsi="仿宋" w:eastAsia="仿宋" w:cs="仿宋_GB2312"/>
          <w:b/>
          <w:sz w:val="32"/>
          <w:szCs w:val="32"/>
        </w:rPr>
        <w:t>（一）大力推进</w:t>
      </w:r>
      <w:r>
        <w:rPr>
          <w:rFonts w:ascii="仿宋" w:hAnsi="仿宋" w:eastAsia="仿宋" w:cs="仿宋_GB2312"/>
          <w:b/>
          <w:sz w:val="32"/>
          <w:szCs w:val="32"/>
        </w:rPr>
        <w:t>工程总承包模式</w:t>
      </w:r>
    </w:p>
    <w:p>
      <w:pPr>
        <w:widowControl/>
        <w:shd w:val="clear" w:color="auto" w:fill="FFFFFF"/>
        <w:spacing w:line="600" w:lineRule="exact"/>
        <w:ind w:firstLine="480"/>
        <w:rPr>
          <w:rFonts w:hint="eastAsia" w:ascii="仿宋" w:hAnsi="仿宋" w:eastAsia="仿宋" w:cs="宋体"/>
          <w:sz w:val="32"/>
          <w:szCs w:val="32"/>
        </w:rPr>
      </w:pPr>
      <w:r>
        <w:rPr>
          <w:rFonts w:hint="eastAsia" w:ascii="仿宋" w:hAnsi="仿宋" w:eastAsia="仿宋" w:cs="仿宋_GB2312"/>
          <w:sz w:val="32"/>
          <w:szCs w:val="32"/>
        </w:rPr>
        <w:t>各级住房城乡建设行政主管部门要引导建设单位在选择建设项目组织实施方式时，优先采用工程总承包模式。政府和国有资金投资项目要带头推行</w:t>
      </w:r>
      <w:r>
        <w:rPr>
          <w:rFonts w:ascii="仿宋" w:hAnsi="仿宋" w:eastAsia="仿宋" w:cs="仿宋_GB2312"/>
          <w:sz w:val="32"/>
          <w:szCs w:val="32"/>
        </w:rPr>
        <w:t>工程总承包</w:t>
      </w:r>
      <w:r>
        <w:rPr>
          <w:rFonts w:hint="eastAsia" w:ascii="仿宋" w:hAnsi="仿宋" w:eastAsia="仿宋" w:cs="仿宋_GB2312"/>
          <w:sz w:val="32"/>
          <w:szCs w:val="32"/>
        </w:rPr>
        <w:t>，装配式建筑项目原则上应采用工程总承包模式</w:t>
      </w:r>
      <w:r>
        <w:rPr>
          <w:rFonts w:hint="eastAsia" w:ascii="仿宋" w:hAnsi="仿宋" w:eastAsia="仿宋" w:cs="宋体"/>
          <w:sz w:val="32"/>
          <w:szCs w:val="32"/>
        </w:rPr>
        <w:t>。鼓</w:t>
      </w:r>
      <w:r>
        <w:rPr>
          <w:rFonts w:hint="eastAsia" w:ascii="仿宋" w:hAnsi="仿宋" w:eastAsia="仿宋" w:cs="仿宋_GB2312"/>
          <w:sz w:val="32"/>
          <w:szCs w:val="32"/>
        </w:rPr>
        <w:t>励企业投资项目实</w:t>
      </w:r>
      <w:r>
        <w:rPr>
          <w:rFonts w:hint="eastAsia" w:ascii="仿宋" w:hAnsi="仿宋" w:eastAsia="仿宋" w:cs="宋体"/>
          <w:sz w:val="32"/>
          <w:szCs w:val="32"/>
        </w:rPr>
        <w:t>行工程总承包。要积极协商同级发展改革部门，选取一批工程项目开展工程总承包试点，引导和培育工程总承包企业具有独立承担工程总承包项目的综合能力。努力培育工程总承包市场。</w:t>
      </w:r>
    </w:p>
    <w:p>
      <w:pPr>
        <w:widowControl/>
        <w:shd w:val="clear" w:color="auto" w:fill="FFFFFF"/>
        <w:spacing w:line="600" w:lineRule="exact"/>
        <w:jc w:val="left"/>
        <w:rPr>
          <w:rFonts w:hint="eastAsia" w:ascii="仿宋" w:hAnsi="仿宋" w:eastAsia="仿宋" w:cs="仿宋_GB2312"/>
          <w:b/>
          <w:bCs/>
          <w:spacing w:val="2"/>
          <w:sz w:val="32"/>
          <w:szCs w:val="32"/>
        </w:rPr>
      </w:pPr>
      <w:r>
        <w:rPr>
          <w:rFonts w:hint="eastAsia" w:ascii="仿宋" w:hAnsi="仿宋" w:eastAsia="仿宋" w:cs="仿宋_GB2312"/>
          <w:b/>
          <w:sz w:val="32"/>
          <w:szCs w:val="32"/>
        </w:rPr>
        <w:t xml:space="preserve">    （二）</w:t>
      </w:r>
      <w:r>
        <w:rPr>
          <w:rFonts w:hint="eastAsia" w:ascii="仿宋" w:hAnsi="仿宋" w:eastAsia="仿宋" w:cs="仿宋_GB2312"/>
          <w:b/>
          <w:bCs/>
          <w:spacing w:val="2"/>
          <w:sz w:val="32"/>
          <w:szCs w:val="32"/>
        </w:rPr>
        <w:t>支持</w:t>
      </w:r>
      <w:r>
        <w:rPr>
          <w:rFonts w:hint="eastAsia" w:ascii="仿宋" w:hAnsi="仿宋" w:eastAsia="仿宋" w:cs="仿宋_GB2312"/>
          <w:b/>
          <w:sz w:val="32"/>
          <w:szCs w:val="32"/>
        </w:rPr>
        <w:t>企业</w:t>
      </w:r>
      <w:r>
        <w:rPr>
          <w:rFonts w:hint="eastAsia" w:ascii="仿宋" w:hAnsi="仿宋" w:eastAsia="仿宋" w:cs="仿宋_GB2312"/>
          <w:b/>
          <w:bCs/>
          <w:spacing w:val="2"/>
          <w:sz w:val="32"/>
          <w:szCs w:val="32"/>
        </w:rPr>
        <w:t>申请“双资质”</w:t>
      </w:r>
    </w:p>
    <w:p>
      <w:pPr>
        <w:widowControl/>
        <w:shd w:val="clear" w:color="auto" w:fill="FFFFFF"/>
        <w:spacing w:line="600" w:lineRule="exact"/>
        <w:ind w:firstLine="480"/>
        <w:jc w:val="left"/>
        <w:rPr>
          <w:rFonts w:hint="eastAsia" w:ascii="仿宋" w:hAnsi="仿宋" w:eastAsia="仿宋" w:cs="仿宋_GB2312"/>
          <w:bCs/>
          <w:spacing w:val="2"/>
          <w:sz w:val="32"/>
          <w:szCs w:val="32"/>
        </w:rPr>
      </w:pPr>
      <w:r>
        <w:rPr>
          <w:rFonts w:hint="eastAsia" w:ascii="仿宋" w:hAnsi="仿宋" w:eastAsia="仿宋" w:cs="仿宋_GB2312"/>
          <w:bCs/>
          <w:spacing w:val="2"/>
          <w:sz w:val="32"/>
          <w:szCs w:val="32"/>
        </w:rPr>
        <w:t xml:space="preserve"> 大力发展同时具有工程设计和施工总承包“双资质”工程公司，</w:t>
      </w:r>
      <w:r>
        <w:rPr>
          <w:rFonts w:hint="eastAsia" w:ascii="仿宋" w:hAnsi="仿宋" w:eastAsia="仿宋" w:cs="仿宋_GB2312"/>
          <w:sz w:val="32"/>
          <w:szCs w:val="32"/>
        </w:rPr>
        <w:t>用足用好住房和城乡建设部、国家发展改革委《房屋建筑和市政基础设施项目工程总承包管理办法》申请“双资质”</w:t>
      </w:r>
      <w:r>
        <w:rPr>
          <w:rFonts w:hint="eastAsia" w:hAnsi="仿宋" w:eastAsia="仿宋"/>
          <w:spacing w:val="2"/>
          <w:sz w:val="32"/>
          <w:szCs w:val="32"/>
        </w:rPr>
        <w:t>规定</w:t>
      </w:r>
      <w:r>
        <w:rPr>
          <w:rFonts w:hint="eastAsia" w:ascii="仿宋" w:hAnsi="仿宋" w:eastAsia="仿宋" w:cs="仿宋_GB2312"/>
          <w:bCs/>
          <w:spacing w:val="2"/>
          <w:sz w:val="32"/>
          <w:szCs w:val="32"/>
        </w:rPr>
        <w:t>，鼓励设计单位申请取得施工资质，已取得工程设计综合资质、行业甲级资质、建筑工程专业甲级资质的单位，可以直接申请相应类别施工总承包一级资质</w:t>
      </w:r>
      <w:r>
        <w:rPr>
          <w:rFonts w:hint="eastAsia" w:ascii="仿宋" w:hAnsi="仿宋" w:eastAsia="仿宋" w:cs="仿宋_GB2312"/>
          <w:sz w:val="32"/>
          <w:szCs w:val="32"/>
        </w:rPr>
        <w:t>，也可以直接申请相应类别施工总承包二级资质（报住房城乡建设部审批的除外）</w:t>
      </w:r>
      <w:r>
        <w:rPr>
          <w:rFonts w:hint="eastAsia" w:ascii="仿宋" w:hAnsi="仿宋" w:eastAsia="仿宋" w:cs="仿宋_GB2312"/>
          <w:bCs/>
          <w:spacing w:val="2"/>
          <w:sz w:val="32"/>
          <w:szCs w:val="32"/>
        </w:rPr>
        <w:t>；鼓励施工单位申请取得工程设计资质，具有一级及以上施工总承包资质的单位可以直接申请相应类别的工程设计甲级资质。企业自行完成或者以联合体形式完成的工程总承包业绩，可以作为企业业绩申报。</w:t>
      </w:r>
    </w:p>
    <w:p>
      <w:pPr>
        <w:widowControl/>
        <w:shd w:val="clear" w:color="auto" w:fill="FFFFFF"/>
        <w:spacing w:line="600" w:lineRule="exact"/>
        <w:jc w:val="left"/>
        <w:rPr>
          <w:rFonts w:hint="eastAsia" w:ascii="仿宋" w:hAnsi="仿宋" w:eastAsia="仿宋" w:cs="仿宋_GB2312"/>
          <w:bCs/>
          <w:spacing w:val="2"/>
          <w:sz w:val="32"/>
          <w:szCs w:val="32"/>
        </w:rPr>
      </w:pPr>
      <w:r>
        <w:rPr>
          <w:rFonts w:hint="eastAsia" w:ascii="仿宋" w:hAnsi="仿宋" w:eastAsia="仿宋" w:cs="仿宋_GB2312"/>
          <w:b/>
          <w:bCs/>
          <w:spacing w:val="2"/>
          <w:sz w:val="32"/>
          <w:szCs w:val="32"/>
        </w:rPr>
        <w:t xml:space="preserve">    （三）</w:t>
      </w:r>
      <w:r>
        <w:rPr>
          <w:rFonts w:hAnsi="仿宋" w:eastAsia="仿宋"/>
          <w:b/>
          <w:spacing w:val="2"/>
          <w:sz w:val="32"/>
          <w:szCs w:val="32"/>
        </w:rPr>
        <w:t>规范工程总承包招标投标</w:t>
      </w:r>
    </w:p>
    <w:p>
      <w:pPr>
        <w:adjustRightInd w:val="0"/>
        <w:snapToGrid w:val="0"/>
        <w:spacing w:line="600" w:lineRule="exact"/>
        <w:outlineLvl w:val="1"/>
        <w:rPr>
          <w:rFonts w:hint="eastAsia" w:hAnsi="仿宋" w:eastAsia="仿宋"/>
          <w:spacing w:val="2"/>
          <w:sz w:val="32"/>
          <w:szCs w:val="32"/>
        </w:rPr>
      </w:pPr>
      <w:r>
        <w:rPr>
          <w:rFonts w:hint="eastAsia" w:hAnsi="仿宋" w:eastAsia="仿宋"/>
          <w:spacing w:val="2"/>
          <w:sz w:val="32"/>
          <w:szCs w:val="32"/>
        </w:rPr>
        <w:t xml:space="preserve">    研究</w:t>
      </w:r>
      <w:r>
        <w:rPr>
          <w:rFonts w:hAnsi="仿宋" w:eastAsia="仿宋"/>
          <w:spacing w:val="2"/>
          <w:sz w:val="32"/>
          <w:szCs w:val="32"/>
        </w:rPr>
        <w:t>制定《四川省房屋建筑和市政</w:t>
      </w:r>
      <w:r>
        <w:rPr>
          <w:rFonts w:hint="eastAsia" w:hAnsi="仿宋" w:eastAsia="仿宋"/>
          <w:spacing w:val="2"/>
          <w:sz w:val="32"/>
          <w:szCs w:val="32"/>
        </w:rPr>
        <w:t>基础设施项目</w:t>
      </w:r>
      <w:r>
        <w:rPr>
          <w:rFonts w:hAnsi="仿宋" w:eastAsia="仿宋"/>
          <w:spacing w:val="2"/>
          <w:sz w:val="32"/>
          <w:szCs w:val="32"/>
        </w:rPr>
        <w:t>工程总承包标准招标文件》，通过全省统一的招标文件模板和全流程电子招标投标，规范工程总承包招标投标。</w:t>
      </w:r>
      <w:r>
        <w:rPr>
          <w:rFonts w:hint="eastAsia" w:hAnsi="仿宋" w:eastAsia="仿宋"/>
          <w:spacing w:val="2"/>
          <w:sz w:val="32"/>
          <w:szCs w:val="32"/>
        </w:rPr>
        <w:t>加强工程总承包项目招投标活动监管，</w:t>
      </w:r>
      <w:r>
        <w:rPr>
          <w:rFonts w:hAnsi="仿宋" w:eastAsia="仿宋"/>
          <w:spacing w:val="2"/>
          <w:sz w:val="32"/>
          <w:szCs w:val="32"/>
        </w:rPr>
        <w:t>投标文件的编制应满足</w:t>
      </w:r>
      <w:r>
        <w:rPr>
          <w:rFonts w:hint="eastAsia" w:ascii="仿宋" w:hAnsi="仿宋" w:eastAsia="仿宋" w:cs="仿宋_GB2312"/>
          <w:sz w:val="32"/>
          <w:szCs w:val="32"/>
        </w:rPr>
        <w:t>《管理办法》</w:t>
      </w:r>
      <w:r>
        <w:rPr>
          <w:rFonts w:hAnsi="仿宋" w:eastAsia="仿宋"/>
          <w:spacing w:val="2"/>
          <w:sz w:val="32"/>
          <w:szCs w:val="32"/>
        </w:rPr>
        <w:t>规定的深度要求</w:t>
      </w:r>
      <w:r>
        <w:rPr>
          <w:rFonts w:hint="eastAsia" w:hAnsi="仿宋" w:eastAsia="仿宋"/>
          <w:spacing w:val="2"/>
          <w:sz w:val="32"/>
          <w:szCs w:val="32"/>
        </w:rPr>
        <w:t>，</w:t>
      </w:r>
      <w:r>
        <w:rPr>
          <w:rFonts w:hAnsi="仿宋" w:eastAsia="仿宋"/>
          <w:spacing w:val="2"/>
          <w:sz w:val="32"/>
          <w:szCs w:val="32"/>
        </w:rPr>
        <w:t>加强风险管控，公平合理地分担风险。</w:t>
      </w:r>
      <w:r>
        <w:rPr>
          <w:rFonts w:hint="eastAsia" w:hAnsi="仿宋" w:eastAsia="仿宋"/>
          <w:spacing w:val="2"/>
          <w:sz w:val="32"/>
          <w:szCs w:val="32"/>
        </w:rPr>
        <w:t>推荐使用建设项目工程总承包合同（示范文本）。</w:t>
      </w:r>
    </w:p>
    <w:p>
      <w:pPr>
        <w:widowControl/>
        <w:shd w:val="clear" w:color="auto" w:fill="FFFFFF"/>
        <w:spacing w:line="600" w:lineRule="exact"/>
        <w:ind w:firstLine="480"/>
        <w:jc w:val="left"/>
        <w:rPr>
          <w:rFonts w:hint="eastAsia" w:ascii="仿宋" w:hAnsi="仿宋" w:eastAsia="仿宋" w:cs="宋体"/>
          <w:b/>
          <w:sz w:val="32"/>
          <w:szCs w:val="32"/>
        </w:rPr>
      </w:pPr>
      <w:r>
        <w:rPr>
          <w:rFonts w:hint="eastAsia" w:ascii="仿宋" w:hAnsi="仿宋" w:eastAsia="仿宋" w:cs="宋体"/>
          <w:b/>
          <w:sz w:val="32"/>
          <w:szCs w:val="32"/>
        </w:rPr>
        <w:t xml:space="preserve"> （四）提升企业工程总承包能力</w:t>
      </w:r>
    </w:p>
    <w:p>
      <w:pPr>
        <w:widowControl/>
        <w:shd w:val="clear" w:color="auto" w:fill="FFFFFF"/>
        <w:spacing w:line="600" w:lineRule="exact"/>
        <w:ind w:firstLine="480"/>
        <w:jc w:val="left"/>
        <w:rPr>
          <w:rFonts w:hint="eastAsia" w:ascii="仿宋" w:hAnsi="仿宋" w:eastAsia="仿宋" w:cs="宋体"/>
          <w:sz w:val="32"/>
          <w:szCs w:val="32"/>
        </w:rPr>
      </w:pPr>
      <w:r>
        <w:rPr>
          <w:rFonts w:hint="eastAsia" w:ascii="仿宋" w:hAnsi="仿宋" w:eastAsia="仿宋" w:cs="宋体"/>
          <w:sz w:val="32"/>
          <w:szCs w:val="32"/>
        </w:rPr>
        <w:t xml:space="preserve"> </w:t>
      </w:r>
      <w:r>
        <w:rPr>
          <w:rFonts w:hint="eastAsia" w:ascii="仿宋" w:hAnsi="仿宋" w:eastAsia="仿宋" w:cs="仿宋_GB2312"/>
          <w:sz w:val="32"/>
          <w:szCs w:val="32"/>
        </w:rPr>
        <w:t>各级住房城乡建设行政主管部门要引导</w:t>
      </w:r>
      <w:r>
        <w:rPr>
          <w:rFonts w:hint="eastAsia" w:ascii="仿宋" w:hAnsi="仿宋" w:eastAsia="仿宋" w:cs="宋体"/>
          <w:sz w:val="32"/>
          <w:szCs w:val="32"/>
        </w:rPr>
        <w:t>工程总承包单位建立与工程总承包相适应的设计、造价、合同、安全、质量、风险、信息等重要控制目标的组织机构和管理制度，形成项目设计、采购、施工以及质量、安全、工期、造价和生态环境保护管理等工程总承包综合管理能力，提升</w:t>
      </w:r>
      <w:r>
        <w:rPr>
          <w:rFonts w:ascii="仿宋" w:hAnsi="仿宋" w:eastAsia="仿宋" w:cs="宋体"/>
          <w:sz w:val="32"/>
          <w:szCs w:val="32"/>
        </w:rPr>
        <w:t>设计、采购</w:t>
      </w:r>
      <w:r>
        <w:rPr>
          <w:rFonts w:hint="eastAsia" w:ascii="仿宋" w:hAnsi="仿宋" w:eastAsia="仿宋" w:cs="宋体"/>
          <w:sz w:val="32"/>
          <w:szCs w:val="32"/>
        </w:rPr>
        <w:t>和</w:t>
      </w:r>
      <w:r>
        <w:rPr>
          <w:rFonts w:ascii="仿宋" w:hAnsi="仿宋" w:eastAsia="仿宋" w:cs="宋体"/>
          <w:sz w:val="32"/>
          <w:szCs w:val="32"/>
        </w:rPr>
        <w:t>施工一体化工程总承包核心技术</w:t>
      </w:r>
      <w:r>
        <w:rPr>
          <w:rFonts w:hint="eastAsia" w:ascii="仿宋" w:hAnsi="仿宋" w:eastAsia="仿宋" w:cs="宋体"/>
          <w:sz w:val="32"/>
          <w:szCs w:val="32"/>
        </w:rPr>
        <w:t>水平，以及对工程总承包项目的管理能力和管理水平。大力培育一批综合实力强、能参与国际、国内工程总承包市场竞争的</w:t>
      </w:r>
      <w:r>
        <w:rPr>
          <w:rFonts w:ascii="仿宋" w:hAnsi="仿宋" w:eastAsia="仿宋" w:cs="宋体"/>
          <w:sz w:val="32"/>
          <w:szCs w:val="32"/>
        </w:rPr>
        <w:t>“川建工”品牌</w:t>
      </w:r>
      <w:r>
        <w:rPr>
          <w:rFonts w:hint="eastAsia" w:ascii="仿宋" w:hAnsi="仿宋" w:eastAsia="仿宋" w:cs="宋体"/>
          <w:sz w:val="32"/>
          <w:szCs w:val="32"/>
        </w:rPr>
        <w:t>企业。</w:t>
      </w:r>
    </w:p>
    <w:p>
      <w:pPr>
        <w:adjustRightInd w:val="0"/>
        <w:snapToGrid w:val="0"/>
        <w:spacing w:line="600" w:lineRule="exact"/>
        <w:ind w:firstLine="651" w:firstLineChars="200"/>
        <w:outlineLvl w:val="1"/>
        <w:rPr>
          <w:rFonts w:hint="eastAsia" w:ascii="仿宋" w:hAnsi="仿宋" w:eastAsia="仿宋" w:cs="仿宋_GB2312"/>
          <w:b/>
          <w:bCs/>
          <w:spacing w:val="2"/>
          <w:sz w:val="32"/>
          <w:szCs w:val="32"/>
        </w:rPr>
      </w:pPr>
      <w:r>
        <w:rPr>
          <w:rFonts w:hint="eastAsia" w:ascii="仿宋" w:hAnsi="仿宋" w:eastAsia="仿宋" w:cs="仿宋_GB2312"/>
          <w:b/>
          <w:bCs/>
          <w:spacing w:val="2"/>
          <w:sz w:val="32"/>
          <w:szCs w:val="32"/>
        </w:rPr>
        <w:t>（五）加强人才队伍建设</w:t>
      </w:r>
    </w:p>
    <w:p>
      <w:pPr>
        <w:adjustRightInd w:val="0"/>
        <w:snapToGrid w:val="0"/>
        <w:spacing w:line="600" w:lineRule="exact"/>
        <w:ind w:firstLine="640" w:firstLineChars="200"/>
        <w:outlineLvl w:val="1"/>
        <w:rPr>
          <w:rFonts w:hint="eastAsia" w:ascii="仿宋" w:hAnsi="仿宋" w:eastAsia="仿宋" w:cs="仿宋_GB2312"/>
          <w:bCs/>
          <w:spacing w:val="2"/>
          <w:sz w:val="32"/>
          <w:szCs w:val="32"/>
        </w:rPr>
      </w:pPr>
      <w:r>
        <w:rPr>
          <w:rFonts w:hint="eastAsia" w:ascii="仿宋" w:hAnsi="仿宋" w:eastAsia="仿宋" w:cs="仿宋_GB2312"/>
          <w:sz w:val="32"/>
          <w:szCs w:val="32"/>
        </w:rPr>
        <w:t>各级住房城乡建设行政主管部门要引导</w:t>
      </w:r>
      <w:r>
        <w:rPr>
          <w:rFonts w:hint="eastAsia" w:ascii="仿宋" w:hAnsi="仿宋" w:eastAsia="仿宋" w:cs="仿宋_GB2312"/>
          <w:bCs/>
          <w:spacing w:val="2"/>
          <w:sz w:val="32"/>
          <w:szCs w:val="32"/>
        </w:rPr>
        <w:t>工程总承包单位建立培育、培训工程总承包复合型人才的机制，着力培养一批既懂设计又懂采购和施工、既熟悉工程技术又熟悉政策法规和成本管理，具有工程总承包综合管理能力、统揽全局的工程总承包复合型人才，以及能够独当一面的</w:t>
      </w:r>
      <w:r>
        <w:rPr>
          <w:rFonts w:ascii="仿宋" w:hAnsi="仿宋" w:eastAsia="仿宋" w:cs="仿宋_GB2312"/>
          <w:bCs/>
          <w:spacing w:val="2"/>
          <w:sz w:val="32"/>
          <w:szCs w:val="32"/>
        </w:rPr>
        <w:t>施工现场技术、质量、安全、进度、</w:t>
      </w:r>
      <w:r>
        <w:rPr>
          <w:rFonts w:hint="eastAsia" w:ascii="仿宋" w:hAnsi="仿宋" w:eastAsia="仿宋" w:cs="仿宋_GB2312"/>
          <w:bCs/>
          <w:spacing w:val="2"/>
          <w:sz w:val="32"/>
          <w:szCs w:val="32"/>
        </w:rPr>
        <w:t>经济</w:t>
      </w:r>
      <w:r>
        <w:rPr>
          <w:rFonts w:ascii="仿宋" w:hAnsi="仿宋" w:eastAsia="仿宋" w:cs="仿宋_GB2312"/>
          <w:bCs/>
          <w:spacing w:val="2"/>
          <w:sz w:val="32"/>
          <w:szCs w:val="32"/>
        </w:rPr>
        <w:t>、设备和材料</w:t>
      </w:r>
      <w:r>
        <w:rPr>
          <w:rFonts w:hAnsi="仿宋" w:eastAsia="仿宋"/>
          <w:spacing w:val="2"/>
          <w:sz w:val="32"/>
          <w:szCs w:val="32"/>
        </w:rPr>
        <w:t>等</w:t>
      </w:r>
      <w:r>
        <w:rPr>
          <w:rFonts w:hint="eastAsia" w:hAnsi="仿宋" w:eastAsia="仿宋"/>
          <w:spacing w:val="2"/>
          <w:sz w:val="32"/>
          <w:szCs w:val="32"/>
        </w:rPr>
        <w:t>专业</w:t>
      </w:r>
      <w:r>
        <w:rPr>
          <w:rFonts w:hAnsi="仿宋" w:eastAsia="仿宋"/>
          <w:spacing w:val="2"/>
          <w:sz w:val="32"/>
          <w:szCs w:val="32"/>
        </w:rPr>
        <w:t>管理人员</w:t>
      </w:r>
      <w:r>
        <w:rPr>
          <w:rFonts w:hint="eastAsia" w:hAnsi="仿宋" w:eastAsia="仿宋"/>
          <w:spacing w:val="2"/>
          <w:sz w:val="32"/>
          <w:szCs w:val="32"/>
        </w:rPr>
        <w:t>，</w:t>
      </w:r>
      <w:r>
        <w:rPr>
          <w:rFonts w:hint="eastAsia" w:ascii="仿宋_GB2312" w:hAnsi="仿宋" w:eastAsia="仿宋_GB2312"/>
          <w:color w:val="000000"/>
          <w:sz w:val="32"/>
          <w:szCs w:val="32"/>
        </w:rPr>
        <w:t>造就一支符合工程总承包业务需求的专业人才队伍。</w:t>
      </w:r>
      <w:r>
        <w:rPr>
          <w:rFonts w:hint="eastAsia" w:hAnsi="仿宋" w:eastAsia="仿宋"/>
          <w:spacing w:val="2"/>
          <w:sz w:val="32"/>
          <w:szCs w:val="32"/>
        </w:rPr>
        <w:t>发挥</w:t>
      </w:r>
      <w:r>
        <w:rPr>
          <w:rFonts w:hint="eastAsia" w:ascii="仿宋" w:hAnsi="仿宋" w:eastAsia="仿宋" w:cs="仿宋_GB2312"/>
          <w:bCs/>
          <w:spacing w:val="2"/>
          <w:sz w:val="32"/>
          <w:szCs w:val="32"/>
        </w:rPr>
        <w:t>工程总承包项目经理和专业管理人才在工程总承包中的主导和核心作用</w:t>
      </w:r>
      <w:r>
        <w:rPr>
          <w:rFonts w:hint="eastAsia" w:hAnsi="仿宋" w:eastAsia="仿宋"/>
          <w:spacing w:val="2"/>
          <w:sz w:val="32"/>
          <w:szCs w:val="32"/>
        </w:rPr>
        <w:t>，</w:t>
      </w:r>
      <w:r>
        <w:rPr>
          <w:rFonts w:hAnsi="仿宋" w:eastAsia="仿宋"/>
          <w:spacing w:val="2"/>
          <w:sz w:val="32"/>
          <w:szCs w:val="32"/>
        </w:rPr>
        <w:t>实现对工程总承包项目的有效管控</w:t>
      </w:r>
      <w:r>
        <w:rPr>
          <w:rFonts w:hint="eastAsia" w:hAnsi="仿宋" w:eastAsia="仿宋"/>
          <w:spacing w:val="2"/>
          <w:sz w:val="32"/>
          <w:szCs w:val="32"/>
        </w:rPr>
        <w:t>和顺利推进</w:t>
      </w:r>
      <w:r>
        <w:rPr>
          <w:rFonts w:hAnsi="仿宋" w:eastAsia="仿宋"/>
          <w:spacing w:val="2"/>
          <w:sz w:val="32"/>
          <w:szCs w:val="32"/>
        </w:rPr>
        <w:t>。</w:t>
      </w:r>
    </w:p>
    <w:p>
      <w:pPr>
        <w:widowControl/>
        <w:shd w:val="clear" w:color="auto" w:fill="FFFFFF"/>
        <w:spacing w:line="600" w:lineRule="exact"/>
        <w:ind w:firstLine="480"/>
        <w:jc w:val="left"/>
        <w:rPr>
          <w:rFonts w:hint="eastAsia" w:ascii="仿宋" w:hAnsi="仿宋" w:eastAsia="仿宋" w:cs="仿宋_GB2312"/>
          <w:b/>
          <w:bCs/>
          <w:spacing w:val="2"/>
          <w:sz w:val="32"/>
          <w:szCs w:val="32"/>
        </w:rPr>
      </w:pPr>
      <w:r>
        <w:rPr>
          <w:rFonts w:hint="eastAsia" w:ascii="仿宋" w:hAnsi="仿宋" w:eastAsia="仿宋" w:cs="仿宋_GB2312"/>
          <w:b/>
          <w:bCs/>
          <w:spacing w:val="2"/>
          <w:sz w:val="32"/>
          <w:szCs w:val="32"/>
        </w:rPr>
        <w:t>（六）推进工程总承包项目实施</w:t>
      </w:r>
    </w:p>
    <w:p>
      <w:pPr>
        <w:adjustRightInd w:val="0"/>
        <w:snapToGrid w:val="0"/>
        <w:spacing w:line="600" w:lineRule="exact"/>
        <w:ind w:firstLine="640" w:firstLineChars="200"/>
        <w:outlineLvl w:val="1"/>
        <w:rPr>
          <w:rFonts w:hint="eastAsia" w:ascii="仿宋" w:hAnsi="仿宋" w:eastAsia="仿宋" w:cs="仿宋_GB2312"/>
          <w:bCs/>
          <w:spacing w:val="2"/>
          <w:sz w:val="32"/>
          <w:szCs w:val="32"/>
        </w:rPr>
      </w:pPr>
      <w:r>
        <w:rPr>
          <w:rFonts w:hint="eastAsia" w:ascii="仿宋" w:hAnsi="仿宋" w:eastAsia="仿宋" w:cs="仿宋_GB2312"/>
          <w:sz w:val="32"/>
          <w:szCs w:val="32"/>
        </w:rPr>
        <w:t>各地要按照《管理办法》工程总承包项目发包和承包、组织实施、监督管理等要求，依法依规有序推进工</w:t>
      </w:r>
      <w:r>
        <w:rPr>
          <w:rFonts w:hint="eastAsia" w:hAnsi="仿宋" w:eastAsia="仿宋"/>
          <w:spacing w:val="2"/>
          <w:sz w:val="32"/>
          <w:szCs w:val="32"/>
        </w:rPr>
        <w:t>程总承包项目实施。</w:t>
      </w:r>
      <w:r>
        <w:rPr>
          <w:rFonts w:hAnsi="仿宋" w:eastAsia="仿宋"/>
          <w:spacing w:val="2"/>
          <w:sz w:val="32"/>
          <w:szCs w:val="32"/>
        </w:rPr>
        <w:t>工程总承包单位</w:t>
      </w:r>
      <w:r>
        <w:rPr>
          <w:rFonts w:hint="eastAsia" w:hAnsi="仿宋" w:eastAsia="仿宋"/>
          <w:spacing w:val="2"/>
          <w:sz w:val="32"/>
          <w:szCs w:val="32"/>
        </w:rPr>
        <w:t>依法</w:t>
      </w:r>
      <w:r>
        <w:rPr>
          <w:rFonts w:hAnsi="仿宋" w:eastAsia="仿宋"/>
          <w:spacing w:val="2"/>
          <w:sz w:val="32"/>
          <w:szCs w:val="32"/>
        </w:rPr>
        <w:t>对其总承包的建设工程质量</w:t>
      </w:r>
      <w:r>
        <w:rPr>
          <w:rFonts w:hint="eastAsia" w:hAnsi="仿宋" w:eastAsia="仿宋"/>
          <w:spacing w:val="2"/>
          <w:sz w:val="32"/>
          <w:szCs w:val="32"/>
        </w:rPr>
        <w:t>、安全</w:t>
      </w:r>
      <w:r>
        <w:rPr>
          <w:rFonts w:hAnsi="仿宋" w:eastAsia="仿宋"/>
          <w:spacing w:val="2"/>
          <w:sz w:val="32"/>
          <w:szCs w:val="32"/>
        </w:rPr>
        <w:t>负总责。</w:t>
      </w:r>
      <w:r>
        <w:rPr>
          <w:rFonts w:hint="eastAsia" w:ascii="仿宋" w:hAnsi="仿宋" w:eastAsia="仿宋" w:cs="仿宋_GB2312"/>
          <w:sz w:val="32"/>
          <w:szCs w:val="32"/>
        </w:rPr>
        <w:t>工程总承包单位和项目经理</w:t>
      </w:r>
      <w:r>
        <w:rPr>
          <w:rFonts w:ascii="仿宋" w:hAnsi="仿宋" w:eastAsia="仿宋" w:cs="仿宋_GB2312"/>
          <w:sz w:val="32"/>
          <w:szCs w:val="32"/>
        </w:rPr>
        <w:t>依法</w:t>
      </w:r>
      <w:r>
        <w:rPr>
          <w:rFonts w:hint="eastAsia" w:ascii="仿宋" w:hAnsi="仿宋" w:eastAsia="仿宋" w:cs="仿宋_GB2312"/>
          <w:sz w:val="32"/>
          <w:szCs w:val="32"/>
        </w:rPr>
        <w:t>对工程总承包项目</w:t>
      </w:r>
      <w:r>
        <w:rPr>
          <w:rFonts w:ascii="仿宋" w:hAnsi="仿宋" w:eastAsia="仿宋" w:cs="仿宋_GB2312"/>
          <w:sz w:val="32"/>
          <w:szCs w:val="32"/>
        </w:rPr>
        <w:t>承担质量终身责任</w:t>
      </w:r>
      <w:r>
        <w:rPr>
          <w:rFonts w:hint="eastAsia" w:ascii="仿宋" w:hAnsi="仿宋" w:eastAsia="仿宋" w:cs="仿宋_GB2312"/>
          <w:sz w:val="32"/>
          <w:szCs w:val="32"/>
        </w:rPr>
        <w:t>。</w:t>
      </w:r>
      <w:r>
        <w:rPr>
          <w:rFonts w:hint="eastAsia" w:hAnsi="仿宋" w:eastAsia="仿宋"/>
          <w:spacing w:val="2"/>
          <w:sz w:val="32"/>
          <w:szCs w:val="32"/>
        </w:rPr>
        <w:t>严格执行分包要求和禁止转包的规定，落实建设单位、工程总承包单位以及分包单位</w:t>
      </w:r>
      <w:r>
        <w:rPr>
          <w:rFonts w:hint="eastAsia" w:ascii="仿宋" w:hAnsi="仿宋" w:eastAsia="仿宋" w:cs="仿宋_GB2312"/>
          <w:sz w:val="32"/>
          <w:szCs w:val="32"/>
        </w:rPr>
        <w:t>的主体责任和质量、安全责任。</w:t>
      </w:r>
      <w:r>
        <w:rPr>
          <w:rFonts w:hint="eastAsia" w:ascii="仿宋" w:hAnsi="仿宋" w:eastAsia="仿宋" w:cs="仿宋_GB2312"/>
          <w:spacing w:val="2"/>
          <w:sz w:val="32"/>
          <w:szCs w:val="32"/>
        </w:rPr>
        <w:t>工程总承包单位应加强</w:t>
      </w:r>
      <w:r>
        <w:rPr>
          <w:rFonts w:hint="eastAsia" w:ascii="仿宋" w:hAnsi="仿宋" w:eastAsia="仿宋" w:cs="仿宋_GB2312"/>
          <w:bCs/>
          <w:spacing w:val="2"/>
          <w:sz w:val="32"/>
          <w:szCs w:val="32"/>
        </w:rPr>
        <w:t>项目</w:t>
      </w:r>
      <w:r>
        <w:rPr>
          <w:rFonts w:hint="eastAsia" w:ascii="仿宋" w:hAnsi="仿宋" w:eastAsia="仿宋" w:cs="仿宋_GB2312"/>
          <w:sz w:val="32"/>
          <w:szCs w:val="32"/>
        </w:rPr>
        <w:t>组织机构、现场管理和</w:t>
      </w:r>
      <w:r>
        <w:rPr>
          <w:rFonts w:hint="eastAsia" w:ascii="仿宋" w:hAnsi="仿宋" w:eastAsia="仿宋" w:cs="仿宋_GB2312"/>
          <w:bCs/>
          <w:spacing w:val="2"/>
          <w:sz w:val="32"/>
          <w:szCs w:val="32"/>
        </w:rPr>
        <w:t>过程控制，通过设计、采购、施工各阶段的协调、配合与合理交叉，科学制定、实施进度计划，确保工程项目顺利推进。</w:t>
      </w:r>
    </w:p>
    <w:p>
      <w:pPr>
        <w:pStyle w:val="8"/>
        <w:spacing w:line="600" w:lineRule="exact"/>
        <w:ind w:firstLine="640" w:firstLineChars="200"/>
        <w:rPr>
          <w:rFonts w:hint="eastAsia" w:ascii="黑体" w:hAnsi="黑体" w:eastAsia="黑体" w:cs="宋体"/>
          <w:sz w:val="32"/>
          <w:szCs w:val="32"/>
        </w:rPr>
      </w:pPr>
      <w:r>
        <w:rPr>
          <w:rFonts w:hint="eastAsia" w:ascii="黑体" w:hAnsi="黑体" w:eastAsia="黑体" w:cs="宋体"/>
          <w:sz w:val="32"/>
          <w:szCs w:val="32"/>
        </w:rPr>
        <w:t>四、保障措施</w:t>
      </w:r>
    </w:p>
    <w:p>
      <w:pPr>
        <w:pStyle w:val="8"/>
        <w:spacing w:line="600" w:lineRule="exact"/>
        <w:ind w:firstLine="643" w:firstLineChars="200"/>
        <w:rPr>
          <w:rFonts w:hint="eastAsia" w:ascii="仿宋" w:hAnsi="仿宋" w:eastAsia="仿宋" w:cs="仿宋_GB2312"/>
          <w:sz w:val="32"/>
          <w:szCs w:val="32"/>
        </w:rPr>
      </w:pPr>
      <w:r>
        <w:rPr>
          <w:rFonts w:hint="eastAsia" w:ascii="仿宋_GB2312" w:hAnsi="仿宋" w:eastAsia="仿宋_GB2312"/>
          <w:b/>
          <w:color w:val="000000"/>
          <w:sz w:val="32"/>
          <w:szCs w:val="32"/>
        </w:rPr>
        <w:t>（一）加强组织引导。</w:t>
      </w:r>
      <w:r>
        <w:rPr>
          <w:rFonts w:hint="eastAsia" w:ascii="仿宋_GB2312" w:hAnsi="仿宋" w:eastAsia="仿宋_GB2312"/>
          <w:color w:val="000000"/>
          <w:sz w:val="32"/>
          <w:szCs w:val="32"/>
        </w:rPr>
        <w:t>各级住房城乡建设</w:t>
      </w:r>
      <w:r>
        <w:rPr>
          <w:rFonts w:hint="eastAsia" w:ascii="仿宋" w:hAnsi="仿宋" w:eastAsia="仿宋" w:cs="仿宋_GB2312"/>
          <w:sz w:val="32"/>
          <w:szCs w:val="32"/>
        </w:rPr>
        <w:t>行政</w:t>
      </w:r>
      <w:r>
        <w:rPr>
          <w:rFonts w:hint="eastAsia" w:ascii="仿宋_GB2312" w:hAnsi="仿宋" w:eastAsia="仿宋_GB2312"/>
          <w:color w:val="000000"/>
          <w:sz w:val="32"/>
          <w:szCs w:val="32"/>
        </w:rPr>
        <w:t>主管部门要加强</w:t>
      </w:r>
      <w:r>
        <w:rPr>
          <w:rFonts w:hint="eastAsia" w:ascii="仿宋" w:hAnsi="仿宋" w:eastAsia="仿宋" w:cs="仿宋_GB2312"/>
          <w:sz w:val="32"/>
          <w:szCs w:val="32"/>
        </w:rPr>
        <w:t>工程总承包政策宣传解读，鼓励更多的投资方采用工程总承包模式，努力培育工程总承包市场，使工程总承包模式逐步占据市场主导地位。</w:t>
      </w:r>
      <w:r>
        <w:rPr>
          <w:rFonts w:hint="eastAsia" w:ascii="仿宋_GB2312" w:hAnsi="仿宋" w:eastAsia="仿宋_GB2312"/>
          <w:color w:val="000000"/>
          <w:sz w:val="32"/>
          <w:szCs w:val="32"/>
        </w:rPr>
        <w:t>要加强与发改、财政、审计等有关部门沟通协调，积极协调解决工程总承包项目实施中的问题。</w:t>
      </w:r>
    </w:p>
    <w:p>
      <w:pPr>
        <w:widowControl/>
        <w:adjustRightInd w:val="0"/>
        <w:snapToGrid w:val="0"/>
        <w:spacing w:line="600" w:lineRule="exact"/>
        <w:jc w:val="left"/>
        <w:rPr>
          <w:rFonts w:hint="eastAsia" w:ascii="仿宋_GB2312" w:hAnsi="仿宋" w:eastAsia="仿宋_GB2312"/>
          <w:color w:val="000000"/>
          <w:sz w:val="32"/>
          <w:szCs w:val="32"/>
        </w:rPr>
      </w:pPr>
      <w:r>
        <w:rPr>
          <w:rFonts w:hint="eastAsia" w:ascii="仿宋_GB2312" w:hAnsi="仿宋" w:eastAsia="仿宋_GB2312"/>
          <w:b/>
          <w:color w:val="000000"/>
          <w:sz w:val="32"/>
          <w:szCs w:val="32"/>
        </w:rPr>
        <w:t xml:space="preserve">    （二）加强示范引领。</w:t>
      </w:r>
      <w:r>
        <w:rPr>
          <w:rFonts w:hint="eastAsia" w:ascii="仿宋_GB2312" w:hAnsi="仿宋" w:eastAsia="仿宋_GB2312"/>
          <w:color w:val="000000"/>
          <w:sz w:val="32"/>
          <w:szCs w:val="32"/>
        </w:rPr>
        <w:t>各级住房城乡建设</w:t>
      </w:r>
      <w:r>
        <w:rPr>
          <w:rFonts w:hint="eastAsia" w:ascii="仿宋" w:hAnsi="仿宋" w:eastAsia="仿宋" w:cs="仿宋_GB2312"/>
          <w:sz w:val="32"/>
          <w:szCs w:val="32"/>
        </w:rPr>
        <w:t>行政</w:t>
      </w:r>
      <w:r>
        <w:rPr>
          <w:rFonts w:hint="eastAsia" w:ascii="仿宋_GB2312" w:hAnsi="仿宋" w:eastAsia="仿宋_GB2312"/>
          <w:color w:val="000000"/>
          <w:sz w:val="32"/>
          <w:szCs w:val="32"/>
        </w:rPr>
        <w:t>主管部门要从试点企业、试点项目入手，培育一批工程总承包骨干企业，发挥示范引领带动作用，提高工程总承包的供给质量和能力。及时总结和推广试点经验，扩大工程总承包的影响力。</w:t>
      </w:r>
    </w:p>
    <w:p>
      <w:pPr>
        <w:widowControl/>
        <w:spacing w:line="600" w:lineRule="exact"/>
        <w:jc w:val="left"/>
        <w:rPr>
          <w:rFonts w:hint="eastAsia" w:ascii="仿宋_GB2312" w:hAnsi="仿宋" w:eastAsia="仿宋_GB2312"/>
          <w:color w:val="000000"/>
          <w:sz w:val="32"/>
          <w:szCs w:val="32"/>
        </w:rPr>
      </w:pPr>
      <w:r>
        <w:rPr>
          <w:rFonts w:hint="eastAsia" w:ascii="仿宋_GB2312" w:hAnsi="仿宋" w:eastAsia="仿宋_GB2312"/>
          <w:b/>
          <w:color w:val="000000"/>
          <w:sz w:val="32"/>
          <w:szCs w:val="32"/>
        </w:rPr>
        <w:t xml:space="preserve">    （三）发挥协会作用。</w:t>
      </w:r>
      <w:r>
        <w:rPr>
          <w:rFonts w:hint="eastAsia" w:ascii="仿宋_GB2312" w:hAnsi="仿宋" w:eastAsia="仿宋_GB2312"/>
          <w:color w:val="000000"/>
          <w:sz w:val="32"/>
          <w:szCs w:val="32"/>
        </w:rPr>
        <w:t>充分发挥行业</w:t>
      </w:r>
      <w:r>
        <w:rPr>
          <w:rFonts w:ascii="仿宋" w:hAnsi="仿宋" w:eastAsia="仿宋" w:cs="仿宋_GB2312"/>
          <w:sz w:val="32"/>
          <w:szCs w:val="32"/>
        </w:rPr>
        <w:t>协会</w:t>
      </w:r>
      <w:r>
        <w:rPr>
          <w:rFonts w:hint="eastAsia" w:ascii="仿宋_GB2312" w:hAnsi="仿宋" w:eastAsia="仿宋_GB2312"/>
          <w:color w:val="000000"/>
          <w:sz w:val="32"/>
          <w:szCs w:val="32"/>
        </w:rPr>
        <w:t>桥梁和纽带作用，</w:t>
      </w:r>
      <w:r>
        <w:rPr>
          <w:rFonts w:hint="eastAsia" w:ascii="仿宋" w:hAnsi="仿宋" w:eastAsia="仿宋" w:cs="仿宋_GB2312"/>
          <w:sz w:val="32"/>
          <w:szCs w:val="32"/>
        </w:rPr>
        <w:t>大力宣传工程总承包，</w:t>
      </w:r>
      <w:r>
        <w:rPr>
          <w:rFonts w:hint="eastAsia" w:ascii="仿宋_GB2312" w:hAnsi="仿宋" w:eastAsia="仿宋_GB2312"/>
          <w:color w:val="000000"/>
          <w:sz w:val="32"/>
          <w:szCs w:val="32"/>
        </w:rPr>
        <w:t>加强政策研究，开展工程总承包项目管理人才培训、工程总承包经验交流</w:t>
      </w:r>
      <w:r>
        <w:rPr>
          <w:rFonts w:hint="eastAsia" w:ascii="仿宋" w:hAnsi="仿宋" w:eastAsia="仿宋" w:cs="仿宋_GB2312"/>
          <w:sz w:val="32"/>
          <w:szCs w:val="32"/>
        </w:rPr>
        <w:t>、案例分享等活动</w:t>
      </w:r>
      <w:r>
        <w:rPr>
          <w:rFonts w:hint="eastAsia" w:ascii="仿宋_GB2312" w:hAnsi="仿宋" w:eastAsia="仿宋_GB2312"/>
          <w:color w:val="000000"/>
          <w:sz w:val="32"/>
          <w:szCs w:val="32"/>
        </w:rPr>
        <w:t>，促进工程总承包快速健康发展。</w:t>
      </w:r>
    </w:p>
    <w:p>
      <w:pPr>
        <w:spacing w:line="600" w:lineRule="exact"/>
        <w:ind w:firstLine="648" w:firstLineChars="200"/>
        <w:rPr>
          <w:rFonts w:ascii="仿宋" w:hAnsi="仿宋" w:eastAsia="仿宋" w:cs="仿宋_GB2312"/>
          <w:bCs/>
          <w:spacing w:val="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BEE"/>
    <w:rsid w:val="0000093D"/>
    <w:rsid w:val="00001633"/>
    <w:rsid w:val="00001A5A"/>
    <w:rsid w:val="00002849"/>
    <w:rsid w:val="000051EE"/>
    <w:rsid w:val="00006CEB"/>
    <w:rsid w:val="00007686"/>
    <w:rsid w:val="000124BA"/>
    <w:rsid w:val="00012B68"/>
    <w:rsid w:val="00016309"/>
    <w:rsid w:val="00024D11"/>
    <w:rsid w:val="0002601F"/>
    <w:rsid w:val="00026828"/>
    <w:rsid w:val="000333AD"/>
    <w:rsid w:val="000350CB"/>
    <w:rsid w:val="000375ED"/>
    <w:rsid w:val="00042291"/>
    <w:rsid w:val="00043DBB"/>
    <w:rsid w:val="000521A2"/>
    <w:rsid w:val="00052C6E"/>
    <w:rsid w:val="00056418"/>
    <w:rsid w:val="00056634"/>
    <w:rsid w:val="00072B2B"/>
    <w:rsid w:val="00072C39"/>
    <w:rsid w:val="00072CFC"/>
    <w:rsid w:val="0007446F"/>
    <w:rsid w:val="0007680A"/>
    <w:rsid w:val="0008180A"/>
    <w:rsid w:val="00085C3D"/>
    <w:rsid w:val="00087C9D"/>
    <w:rsid w:val="00093AA2"/>
    <w:rsid w:val="0009537E"/>
    <w:rsid w:val="00097C01"/>
    <w:rsid w:val="000A0595"/>
    <w:rsid w:val="000A467F"/>
    <w:rsid w:val="000A6541"/>
    <w:rsid w:val="000B06DF"/>
    <w:rsid w:val="000B26DD"/>
    <w:rsid w:val="000B27D2"/>
    <w:rsid w:val="000B76A8"/>
    <w:rsid w:val="000C1015"/>
    <w:rsid w:val="000D31A5"/>
    <w:rsid w:val="000D6D8A"/>
    <w:rsid w:val="000E14A6"/>
    <w:rsid w:val="000E22C7"/>
    <w:rsid w:val="000E273D"/>
    <w:rsid w:val="000E3A68"/>
    <w:rsid w:val="000E6217"/>
    <w:rsid w:val="000E63B2"/>
    <w:rsid w:val="000F6352"/>
    <w:rsid w:val="001003CF"/>
    <w:rsid w:val="00102038"/>
    <w:rsid w:val="0010518C"/>
    <w:rsid w:val="00105933"/>
    <w:rsid w:val="00113D87"/>
    <w:rsid w:val="0011697E"/>
    <w:rsid w:val="00123481"/>
    <w:rsid w:val="00127835"/>
    <w:rsid w:val="00130F09"/>
    <w:rsid w:val="001337B9"/>
    <w:rsid w:val="0014031A"/>
    <w:rsid w:val="00146054"/>
    <w:rsid w:val="00151494"/>
    <w:rsid w:val="00153CF9"/>
    <w:rsid w:val="00162C96"/>
    <w:rsid w:val="001656B6"/>
    <w:rsid w:val="00175828"/>
    <w:rsid w:val="001760D7"/>
    <w:rsid w:val="00181594"/>
    <w:rsid w:val="001856D1"/>
    <w:rsid w:val="00187D2D"/>
    <w:rsid w:val="0019172A"/>
    <w:rsid w:val="00192C22"/>
    <w:rsid w:val="001A4123"/>
    <w:rsid w:val="001A6BEC"/>
    <w:rsid w:val="001A7FC2"/>
    <w:rsid w:val="001B0AD3"/>
    <w:rsid w:val="001B2FB3"/>
    <w:rsid w:val="001B5CA7"/>
    <w:rsid w:val="001B612C"/>
    <w:rsid w:val="001C027D"/>
    <w:rsid w:val="001C439D"/>
    <w:rsid w:val="001C54D7"/>
    <w:rsid w:val="001D01A3"/>
    <w:rsid w:val="001D46F4"/>
    <w:rsid w:val="001D5482"/>
    <w:rsid w:val="001D6C8A"/>
    <w:rsid w:val="001E2DD6"/>
    <w:rsid w:val="001E796D"/>
    <w:rsid w:val="001F0875"/>
    <w:rsid w:val="001F229D"/>
    <w:rsid w:val="001F3313"/>
    <w:rsid w:val="001F3C40"/>
    <w:rsid w:val="001F667D"/>
    <w:rsid w:val="00202258"/>
    <w:rsid w:val="00202AF8"/>
    <w:rsid w:val="00202C7D"/>
    <w:rsid w:val="0020564A"/>
    <w:rsid w:val="0021448E"/>
    <w:rsid w:val="0022131F"/>
    <w:rsid w:val="00231D6C"/>
    <w:rsid w:val="00240805"/>
    <w:rsid w:val="00246945"/>
    <w:rsid w:val="00246F55"/>
    <w:rsid w:val="00250C88"/>
    <w:rsid w:val="002510F0"/>
    <w:rsid w:val="002571AF"/>
    <w:rsid w:val="00257E91"/>
    <w:rsid w:val="002619C5"/>
    <w:rsid w:val="00263686"/>
    <w:rsid w:val="00280CC6"/>
    <w:rsid w:val="0028489F"/>
    <w:rsid w:val="002879F9"/>
    <w:rsid w:val="002940EE"/>
    <w:rsid w:val="002A41A8"/>
    <w:rsid w:val="002A6BD7"/>
    <w:rsid w:val="002A7BE7"/>
    <w:rsid w:val="002B14C8"/>
    <w:rsid w:val="002C19B8"/>
    <w:rsid w:val="002C1F15"/>
    <w:rsid w:val="002C2227"/>
    <w:rsid w:val="002C3F43"/>
    <w:rsid w:val="002D29DF"/>
    <w:rsid w:val="002D32E5"/>
    <w:rsid w:val="002E09D8"/>
    <w:rsid w:val="002E3A8A"/>
    <w:rsid w:val="002E4E24"/>
    <w:rsid w:val="002F32B4"/>
    <w:rsid w:val="002F63D9"/>
    <w:rsid w:val="003033B9"/>
    <w:rsid w:val="00305C94"/>
    <w:rsid w:val="003062F8"/>
    <w:rsid w:val="00312159"/>
    <w:rsid w:val="00315DB4"/>
    <w:rsid w:val="00316229"/>
    <w:rsid w:val="00317F3A"/>
    <w:rsid w:val="003227E0"/>
    <w:rsid w:val="00323D41"/>
    <w:rsid w:val="00333454"/>
    <w:rsid w:val="00336D5D"/>
    <w:rsid w:val="0034276D"/>
    <w:rsid w:val="003452F5"/>
    <w:rsid w:val="003503AE"/>
    <w:rsid w:val="00353E6D"/>
    <w:rsid w:val="00355257"/>
    <w:rsid w:val="00355B7A"/>
    <w:rsid w:val="00360C51"/>
    <w:rsid w:val="003616CD"/>
    <w:rsid w:val="003616D0"/>
    <w:rsid w:val="00365E49"/>
    <w:rsid w:val="003711E3"/>
    <w:rsid w:val="00371314"/>
    <w:rsid w:val="00374BFD"/>
    <w:rsid w:val="003767C7"/>
    <w:rsid w:val="003837AB"/>
    <w:rsid w:val="003839C6"/>
    <w:rsid w:val="00383E7B"/>
    <w:rsid w:val="00390888"/>
    <w:rsid w:val="00391CB4"/>
    <w:rsid w:val="003B121E"/>
    <w:rsid w:val="003B4EA4"/>
    <w:rsid w:val="003B5B7C"/>
    <w:rsid w:val="003B5EE5"/>
    <w:rsid w:val="003B6506"/>
    <w:rsid w:val="003C22D0"/>
    <w:rsid w:val="003D265B"/>
    <w:rsid w:val="003D3E13"/>
    <w:rsid w:val="003D75C5"/>
    <w:rsid w:val="003D7B8C"/>
    <w:rsid w:val="003E1BF8"/>
    <w:rsid w:val="003E3A1D"/>
    <w:rsid w:val="003E55C0"/>
    <w:rsid w:val="003E70C8"/>
    <w:rsid w:val="003F7CAF"/>
    <w:rsid w:val="00400B8B"/>
    <w:rsid w:val="0040296F"/>
    <w:rsid w:val="00402EF6"/>
    <w:rsid w:val="004031F4"/>
    <w:rsid w:val="004035A1"/>
    <w:rsid w:val="00403CF1"/>
    <w:rsid w:val="0040586B"/>
    <w:rsid w:val="00405BF6"/>
    <w:rsid w:val="0041297A"/>
    <w:rsid w:val="00416B63"/>
    <w:rsid w:val="0041727D"/>
    <w:rsid w:val="004244CB"/>
    <w:rsid w:val="004249B5"/>
    <w:rsid w:val="00430933"/>
    <w:rsid w:val="00431EAF"/>
    <w:rsid w:val="00433F97"/>
    <w:rsid w:val="0043451F"/>
    <w:rsid w:val="0044658B"/>
    <w:rsid w:val="0044713B"/>
    <w:rsid w:val="004533F5"/>
    <w:rsid w:val="004561FF"/>
    <w:rsid w:val="00456ADB"/>
    <w:rsid w:val="00457562"/>
    <w:rsid w:val="00461022"/>
    <w:rsid w:val="004708E8"/>
    <w:rsid w:val="0047137E"/>
    <w:rsid w:val="00481E27"/>
    <w:rsid w:val="00492816"/>
    <w:rsid w:val="00494ABA"/>
    <w:rsid w:val="00494CDB"/>
    <w:rsid w:val="004A0A16"/>
    <w:rsid w:val="004A0FB4"/>
    <w:rsid w:val="004A19A8"/>
    <w:rsid w:val="004A5606"/>
    <w:rsid w:val="004C6590"/>
    <w:rsid w:val="004D0D81"/>
    <w:rsid w:val="004D332B"/>
    <w:rsid w:val="004D6717"/>
    <w:rsid w:val="004E05FF"/>
    <w:rsid w:val="004E4EA8"/>
    <w:rsid w:val="004E6525"/>
    <w:rsid w:val="004F41C2"/>
    <w:rsid w:val="004F4942"/>
    <w:rsid w:val="004F59BF"/>
    <w:rsid w:val="004F5E87"/>
    <w:rsid w:val="00501570"/>
    <w:rsid w:val="00501DE9"/>
    <w:rsid w:val="0050280C"/>
    <w:rsid w:val="00503E33"/>
    <w:rsid w:val="00507DC5"/>
    <w:rsid w:val="0051074C"/>
    <w:rsid w:val="0052330F"/>
    <w:rsid w:val="00530D96"/>
    <w:rsid w:val="00534101"/>
    <w:rsid w:val="005431C4"/>
    <w:rsid w:val="005449F8"/>
    <w:rsid w:val="00545A80"/>
    <w:rsid w:val="00546C53"/>
    <w:rsid w:val="00547E6E"/>
    <w:rsid w:val="00550269"/>
    <w:rsid w:val="005546B2"/>
    <w:rsid w:val="00556A04"/>
    <w:rsid w:val="005572E1"/>
    <w:rsid w:val="00560B34"/>
    <w:rsid w:val="00562078"/>
    <w:rsid w:val="005622CD"/>
    <w:rsid w:val="0057172C"/>
    <w:rsid w:val="005727A3"/>
    <w:rsid w:val="00576BB7"/>
    <w:rsid w:val="00577F93"/>
    <w:rsid w:val="00581A06"/>
    <w:rsid w:val="005832A8"/>
    <w:rsid w:val="00585316"/>
    <w:rsid w:val="005859EB"/>
    <w:rsid w:val="00590ED5"/>
    <w:rsid w:val="00590FD8"/>
    <w:rsid w:val="00592065"/>
    <w:rsid w:val="00597F34"/>
    <w:rsid w:val="005A2829"/>
    <w:rsid w:val="005A4C56"/>
    <w:rsid w:val="005A5164"/>
    <w:rsid w:val="005B3FC3"/>
    <w:rsid w:val="005C0D96"/>
    <w:rsid w:val="005C6BDA"/>
    <w:rsid w:val="005D12AE"/>
    <w:rsid w:val="005E396F"/>
    <w:rsid w:val="005E4545"/>
    <w:rsid w:val="005E4E0F"/>
    <w:rsid w:val="005E657F"/>
    <w:rsid w:val="005F143C"/>
    <w:rsid w:val="005F1B26"/>
    <w:rsid w:val="005F45D4"/>
    <w:rsid w:val="005F509D"/>
    <w:rsid w:val="00602AAE"/>
    <w:rsid w:val="006037BC"/>
    <w:rsid w:val="0060444E"/>
    <w:rsid w:val="00606C5D"/>
    <w:rsid w:val="006100FC"/>
    <w:rsid w:val="0061012A"/>
    <w:rsid w:val="00620413"/>
    <w:rsid w:val="00621695"/>
    <w:rsid w:val="00622261"/>
    <w:rsid w:val="00622BD6"/>
    <w:rsid w:val="00625EC4"/>
    <w:rsid w:val="00630340"/>
    <w:rsid w:val="00634427"/>
    <w:rsid w:val="006361D2"/>
    <w:rsid w:val="006442AA"/>
    <w:rsid w:val="00644E68"/>
    <w:rsid w:val="00647950"/>
    <w:rsid w:val="00656100"/>
    <w:rsid w:val="00656895"/>
    <w:rsid w:val="00657F65"/>
    <w:rsid w:val="00661429"/>
    <w:rsid w:val="0066705D"/>
    <w:rsid w:val="00667AE9"/>
    <w:rsid w:val="006718F6"/>
    <w:rsid w:val="00672358"/>
    <w:rsid w:val="006729F9"/>
    <w:rsid w:val="00687B6C"/>
    <w:rsid w:val="006930FF"/>
    <w:rsid w:val="00694398"/>
    <w:rsid w:val="00695E58"/>
    <w:rsid w:val="006A2EC0"/>
    <w:rsid w:val="006B59CD"/>
    <w:rsid w:val="006C0D41"/>
    <w:rsid w:val="006C334B"/>
    <w:rsid w:val="006C6A1D"/>
    <w:rsid w:val="006E0366"/>
    <w:rsid w:val="006E7E52"/>
    <w:rsid w:val="00713EA4"/>
    <w:rsid w:val="00721A41"/>
    <w:rsid w:val="0072419B"/>
    <w:rsid w:val="0072534F"/>
    <w:rsid w:val="00736F70"/>
    <w:rsid w:val="0075051E"/>
    <w:rsid w:val="00752650"/>
    <w:rsid w:val="00755040"/>
    <w:rsid w:val="00755651"/>
    <w:rsid w:val="00756562"/>
    <w:rsid w:val="00760927"/>
    <w:rsid w:val="00762230"/>
    <w:rsid w:val="00770D84"/>
    <w:rsid w:val="00775A62"/>
    <w:rsid w:val="00776356"/>
    <w:rsid w:val="00777F49"/>
    <w:rsid w:val="00780BAF"/>
    <w:rsid w:val="00791FBB"/>
    <w:rsid w:val="007A155D"/>
    <w:rsid w:val="007C1F8A"/>
    <w:rsid w:val="007D0C34"/>
    <w:rsid w:val="007D112F"/>
    <w:rsid w:val="007D1B8B"/>
    <w:rsid w:val="007D24C5"/>
    <w:rsid w:val="007D26EE"/>
    <w:rsid w:val="007D2974"/>
    <w:rsid w:val="007D7426"/>
    <w:rsid w:val="007E2F5D"/>
    <w:rsid w:val="007F0848"/>
    <w:rsid w:val="007F48D2"/>
    <w:rsid w:val="007F55C6"/>
    <w:rsid w:val="007F5C74"/>
    <w:rsid w:val="007F6353"/>
    <w:rsid w:val="008003B7"/>
    <w:rsid w:val="00812911"/>
    <w:rsid w:val="00814DD9"/>
    <w:rsid w:val="008162CB"/>
    <w:rsid w:val="0082436A"/>
    <w:rsid w:val="00824E7D"/>
    <w:rsid w:val="008310D9"/>
    <w:rsid w:val="0083371F"/>
    <w:rsid w:val="00834FF9"/>
    <w:rsid w:val="008377E5"/>
    <w:rsid w:val="00841595"/>
    <w:rsid w:val="00843ED0"/>
    <w:rsid w:val="008460CE"/>
    <w:rsid w:val="0085095B"/>
    <w:rsid w:val="00851738"/>
    <w:rsid w:val="0086100A"/>
    <w:rsid w:val="008631CD"/>
    <w:rsid w:val="00867132"/>
    <w:rsid w:val="00867BAC"/>
    <w:rsid w:val="008709EB"/>
    <w:rsid w:val="0087238D"/>
    <w:rsid w:val="0087315D"/>
    <w:rsid w:val="0087528C"/>
    <w:rsid w:val="008757EA"/>
    <w:rsid w:val="00877FB8"/>
    <w:rsid w:val="00881FF8"/>
    <w:rsid w:val="008901F0"/>
    <w:rsid w:val="008928DD"/>
    <w:rsid w:val="0089436E"/>
    <w:rsid w:val="008A3DB6"/>
    <w:rsid w:val="008A7715"/>
    <w:rsid w:val="008B1EFA"/>
    <w:rsid w:val="008B2CA7"/>
    <w:rsid w:val="008B394A"/>
    <w:rsid w:val="008B3FEF"/>
    <w:rsid w:val="008B62DC"/>
    <w:rsid w:val="008C0DA3"/>
    <w:rsid w:val="008C185A"/>
    <w:rsid w:val="008C30ED"/>
    <w:rsid w:val="008D28DE"/>
    <w:rsid w:val="008D3CC0"/>
    <w:rsid w:val="008D40C4"/>
    <w:rsid w:val="008D5725"/>
    <w:rsid w:val="008E29A1"/>
    <w:rsid w:val="008E583B"/>
    <w:rsid w:val="008F2864"/>
    <w:rsid w:val="008F2B1E"/>
    <w:rsid w:val="008F3613"/>
    <w:rsid w:val="008F5C0D"/>
    <w:rsid w:val="008F608D"/>
    <w:rsid w:val="0090152D"/>
    <w:rsid w:val="00902F74"/>
    <w:rsid w:val="009045DF"/>
    <w:rsid w:val="00910AD4"/>
    <w:rsid w:val="0091590C"/>
    <w:rsid w:val="00922379"/>
    <w:rsid w:val="0093013B"/>
    <w:rsid w:val="00935FC7"/>
    <w:rsid w:val="00945796"/>
    <w:rsid w:val="00951584"/>
    <w:rsid w:val="00951CFD"/>
    <w:rsid w:val="009537C5"/>
    <w:rsid w:val="00966969"/>
    <w:rsid w:val="009839E7"/>
    <w:rsid w:val="009874B9"/>
    <w:rsid w:val="00990546"/>
    <w:rsid w:val="00991E54"/>
    <w:rsid w:val="009921BF"/>
    <w:rsid w:val="009A1EB3"/>
    <w:rsid w:val="009A2902"/>
    <w:rsid w:val="009A7EDB"/>
    <w:rsid w:val="009B27EE"/>
    <w:rsid w:val="009B2AAB"/>
    <w:rsid w:val="009B2AFB"/>
    <w:rsid w:val="009B6AEC"/>
    <w:rsid w:val="009C524C"/>
    <w:rsid w:val="009C7181"/>
    <w:rsid w:val="009D2011"/>
    <w:rsid w:val="009E1988"/>
    <w:rsid w:val="009E4F95"/>
    <w:rsid w:val="009F3329"/>
    <w:rsid w:val="00A00D32"/>
    <w:rsid w:val="00A0157F"/>
    <w:rsid w:val="00A0314F"/>
    <w:rsid w:val="00A04045"/>
    <w:rsid w:val="00A06068"/>
    <w:rsid w:val="00A074D6"/>
    <w:rsid w:val="00A07A63"/>
    <w:rsid w:val="00A104B0"/>
    <w:rsid w:val="00A10C69"/>
    <w:rsid w:val="00A14787"/>
    <w:rsid w:val="00A154C9"/>
    <w:rsid w:val="00A21C4C"/>
    <w:rsid w:val="00A25243"/>
    <w:rsid w:val="00A32599"/>
    <w:rsid w:val="00A33F72"/>
    <w:rsid w:val="00A345D3"/>
    <w:rsid w:val="00A350B2"/>
    <w:rsid w:val="00A37A73"/>
    <w:rsid w:val="00A43FB8"/>
    <w:rsid w:val="00A56A6A"/>
    <w:rsid w:val="00A57AF5"/>
    <w:rsid w:val="00A6064C"/>
    <w:rsid w:val="00A63CAD"/>
    <w:rsid w:val="00A654DB"/>
    <w:rsid w:val="00A65FC3"/>
    <w:rsid w:val="00A715F4"/>
    <w:rsid w:val="00A721AB"/>
    <w:rsid w:val="00A73B5A"/>
    <w:rsid w:val="00A75497"/>
    <w:rsid w:val="00A75D8B"/>
    <w:rsid w:val="00A76C2A"/>
    <w:rsid w:val="00A82FEB"/>
    <w:rsid w:val="00A92039"/>
    <w:rsid w:val="00A948DE"/>
    <w:rsid w:val="00A955F2"/>
    <w:rsid w:val="00AA2746"/>
    <w:rsid w:val="00AA6BED"/>
    <w:rsid w:val="00AB00E6"/>
    <w:rsid w:val="00AB24FC"/>
    <w:rsid w:val="00AB2B2B"/>
    <w:rsid w:val="00AB3DE4"/>
    <w:rsid w:val="00AB4EA2"/>
    <w:rsid w:val="00AB502D"/>
    <w:rsid w:val="00AB5264"/>
    <w:rsid w:val="00AB64AC"/>
    <w:rsid w:val="00AB653A"/>
    <w:rsid w:val="00AB6E02"/>
    <w:rsid w:val="00AC2AE7"/>
    <w:rsid w:val="00AC7853"/>
    <w:rsid w:val="00AD2076"/>
    <w:rsid w:val="00AD57A1"/>
    <w:rsid w:val="00AE557D"/>
    <w:rsid w:val="00AE6F8B"/>
    <w:rsid w:val="00AF44EB"/>
    <w:rsid w:val="00B019DB"/>
    <w:rsid w:val="00B0490F"/>
    <w:rsid w:val="00B1144D"/>
    <w:rsid w:val="00B156DC"/>
    <w:rsid w:val="00B20971"/>
    <w:rsid w:val="00B26F3A"/>
    <w:rsid w:val="00B31F34"/>
    <w:rsid w:val="00B33197"/>
    <w:rsid w:val="00B33827"/>
    <w:rsid w:val="00B3439C"/>
    <w:rsid w:val="00B34CA9"/>
    <w:rsid w:val="00B36D59"/>
    <w:rsid w:val="00B429B1"/>
    <w:rsid w:val="00B4450F"/>
    <w:rsid w:val="00B45F33"/>
    <w:rsid w:val="00B530FF"/>
    <w:rsid w:val="00B547A6"/>
    <w:rsid w:val="00B55905"/>
    <w:rsid w:val="00B56349"/>
    <w:rsid w:val="00B63657"/>
    <w:rsid w:val="00B64A3C"/>
    <w:rsid w:val="00B74585"/>
    <w:rsid w:val="00B76292"/>
    <w:rsid w:val="00B814BE"/>
    <w:rsid w:val="00B818D9"/>
    <w:rsid w:val="00B841D3"/>
    <w:rsid w:val="00B844A3"/>
    <w:rsid w:val="00B85911"/>
    <w:rsid w:val="00B938A5"/>
    <w:rsid w:val="00B97B02"/>
    <w:rsid w:val="00BA0751"/>
    <w:rsid w:val="00BB2E07"/>
    <w:rsid w:val="00BC23A5"/>
    <w:rsid w:val="00BC369F"/>
    <w:rsid w:val="00BC5DBF"/>
    <w:rsid w:val="00BD1505"/>
    <w:rsid w:val="00BE641E"/>
    <w:rsid w:val="00BE6A47"/>
    <w:rsid w:val="00BF4F56"/>
    <w:rsid w:val="00BF5267"/>
    <w:rsid w:val="00C04201"/>
    <w:rsid w:val="00C045D5"/>
    <w:rsid w:val="00C05C11"/>
    <w:rsid w:val="00C06C83"/>
    <w:rsid w:val="00C07BEA"/>
    <w:rsid w:val="00C27889"/>
    <w:rsid w:val="00C30792"/>
    <w:rsid w:val="00C315E1"/>
    <w:rsid w:val="00C31C79"/>
    <w:rsid w:val="00C41104"/>
    <w:rsid w:val="00C4428E"/>
    <w:rsid w:val="00C446B7"/>
    <w:rsid w:val="00C50B84"/>
    <w:rsid w:val="00C52919"/>
    <w:rsid w:val="00C554DE"/>
    <w:rsid w:val="00C57439"/>
    <w:rsid w:val="00C57D53"/>
    <w:rsid w:val="00C61D69"/>
    <w:rsid w:val="00C63122"/>
    <w:rsid w:val="00C708DE"/>
    <w:rsid w:val="00C721DB"/>
    <w:rsid w:val="00C72EE7"/>
    <w:rsid w:val="00C754AB"/>
    <w:rsid w:val="00C75599"/>
    <w:rsid w:val="00C76041"/>
    <w:rsid w:val="00C86574"/>
    <w:rsid w:val="00C86E0D"/>
    <w:rsid w:val="00C93F7C"/>
    <w:rsid w:val="00C95A80"/>
    <w:rsid w:val="00C966FC"/>
    <w:rsid w:val="00C96E00"/>
    <w:rsid w:val="00C97C44"/>
    <w:rsid w:val="00CB3641"/>
    <w:rsid w:val="00CB50ED"/>
    <w:rsid w:val="00CB7ABB"/>
    <w:rsid w:val="00CB7BEE"/>
    <w:rsid w:val="00CC22B6"/>
    <w:rsid w:val="00CC2786"/>
    <w:rsid w:val="00CC5614"/>
    <w:rsid w:val="00CC7B19"/>
    <w:rsid w:val="00CD268A"/>
    <w:rsid w:val="00CD5A54"/>
    <w:rsid w:val="00CD70EA"/>
    <w:rsid w:val="00CE0009"/>
    <w:rsid w:val="00CE2B22"/>
    <w:rsid w:val="00CE4E4A"/>
    <w:rsid w:val="00CE689E"/>
    <w:rsid w:val="00CE69C1"/>
    <w:rsid w:val="00CF0734"/>
    <w:rsid w:val="00CF68FC"/>
    <w:rsid w:val="00CF7DB9"/>
    <w:rsid w:val="00D00616"/>
    <w:rsid w:val="00D0086E"/>
    <w:rsid w:val="00D02D7D"/>
    <w:rsid w:val="00D04C5D"/>
    <w:rsid w:val="00D06491"/>
    <w:rsid w:val="00D074D6"/>
    <w:rsid w:val="00D10581"/>
    <w:rsid w:val="00D10959"/>
    <w:rsid w:val="00D13817"/>
    <w:rsid w:val="00D15159"/>
    <w:rsid w:val="00D15175"/>
    <w:rsid w:val="00D2065F"/>
    <w:rsid w:val="00D2275C"/>
    <w:rsid w:val="00D5147B"/>
    <w:rsid w:val="00D51FBE"/>
    <w:rsid w:val="00D551CA"/>
    <w:rsid w:val="00D7373E"/>
    <w:rsid w:val="00D75A87"/>
    <w:rsid w:val="00D77395"/>
    <w:rsid w:val="00D82C49"/>
    <w:rsid w:val="00D842FC"/>
    <w:rsid w:val="00D95623"/>
    <w:rsid w:val="00DB0AB8"/>
    <w:rsid w:val="00DB54EC"/>
    <w:rsid w:val="00DB6054"/>
    <w:rsid w:val="00DB617F"/>
    <w:rsid w:val="00DB71E1"/>
    <w:rsid w:val="00DC2BA6"/>
    <w:rsid w:val="00DC4992"/>
    <w:rsid w:val="00DC4D1E"/>
    <w:rsid w:val="00DC6452"/>
    <w:rsid w:val="00DC78B3"/>
    <w:rsid w:val="00DC7E2B"/>
    <w:rsid w:val="00DD1A74"/>
    <w:rsid w:val="00DD2A6D"/>
    <w:rsid w:val="00DE7AF9"/>
    <w:rsid w:val="00DE7E92"/>
    <w:rsid w:val="00DF4366"/>
    <w:rsid w:val="00E0089C"/>
    <w:rsid w:val="00E06871"/>
    <w:rsid w:val="00E168FC"/>
    <w:rsid w:val="00E20D54"/>
    <w:rsid w:val="00E20F30"/>
    <w:rsid w:val="00E23D46"/>
    <w:rsid w:val="00E25BAC"/>
    <w:rsid w:val="00E267B7"/>
    <w:rsid w:val="00E318CE"/>
    <w:rsid w:val="00E32693"/>
    <w:rsid w:val="00E34DC0"/>
    <w:rsid w:val="00E42EC3"/>
    <w:rsid w:val="00E451EB"/>
    <w:rsid w:val="00E5320A"/>
    <w:rsid w:val="00E56573"/>
    <w:rsid w:val="00E56DDF"/>
    <w:rsid w:val="00E578D3"/>
    <w:rsid w:val="00E61346"/>
    <w:rsid w:val="00E6252A"/>
    <w:rsid w:val="00E666D7"/>
    <w:rsid w:val="00E70C00"/>
    <w:rsid w:val="00E768CB"/>
    <w:rsid w:val="00E84638"/>
    <w:rsid w:val="00E84A86"/>
    <w:rsid w:val="00E874D1"/>
    <w:rsid w:val="00E87F51"/>
    <w:rsid w:val="00EA1634"/>
    <w:rsid w:val="00EA25A6"/>
    <w:rsid w:val="00EA539B"/>
    <w:rsid w:val="00EA6FBB"/>
    <w:rsid w:val="00EC2B90"/>
    <w:rsid w:val="00EC40F0"/>
    <w:rsid w:val="00EC43D6"/>
    <w:rsid w:val="00ED71DE"/>
    <w:rsid w:val="00ED7E43"/>
    <w:rsid w:val="00EE22C1"/>
    <w:rsid w:val="00EE30CD"/>
    <w:rsid w:val="00EE4AD7"/>
    <w:rsid w:val="00EE6ACD"/>
    <w:rsid w:val="00EF26E4"/>
    <w:rsid w:val="00EF2D2A"/>
    <w:rsid w:val="00EF5241"/>
    <w:rsid w:val="00EF6371"/>
    <w:rsid w:val="00F0687B"/>
    <w:rsid w:val="00F0798E"/>
    <w:rsid w:val="00F07BFE"/>
    <w:rsid w:val="00F1136E"/>
    <w:rsid w:val="00F1268F"/>
    <w:rsid w:val="00F159C0"/>
    <w:rsid w:val="00F178FD"/>
    <w:rsid w:val="00F17E32"/>
    <w:rsid w:val="00F20236"/>
    <w:rsid w:val="00F26F23"/>
    <w:rsid w:val="00F3034B"/>
    <w:rsid w:val="00F34273"/>
    <w:rsid w:val="00F41108"/>
    <w:rsid w:val="00F458F9"/>
    <w:rsid w:val="00F459FB"/>
    <w:rsid w:val="00F50695"/>
    <w:rsid w:val="00F54BA6"/>
    <w:rsid w:val="00F6149F"/>
    <w:rsid w:val="00F61C3B"/>
    <w:rsid w:val="00F648B8"/>
    <w:rsid w:val="00F65265"/>
    <w:rsid w:val="00F66BBA"/>
    <w:rsid w:val="00F70C38"/>
    <w:rsid w:val="00F713E7"/>
    <w:rsid w:val="00F84214"/>
    <w:rsid w:val="00F87259"/>
    <w:rsid w:val="00F928FA"/>
    <w:rsid w:val="00F92D98"/>
    <w:rsid w:val="00F9581E"/>
    <w:rsid w:val="00F95DBD"/>
    <w:rsid w:val="00FA1324"/>
    <w:rsid w:val="00FA6E1D"/>
    <w:rsid w:val="00FC32C3"/>
    <w:rsid w:val="00FC36CD"/>
    <w:rsid w:val="00FC42EF"/>
    <w:rsid w:val="00FC6DDA"/>
    <w:rsid w:val="00FC6FD9"/>
    <w:rsid w:val="00FD097F"/>
    <w:rsid w:val="00FD49FB"/>
    <w:rsid w:val="00FD5515"/>
    <w:rsid w:val="00FE01EC"/>
    <w:rsid w:val="00FE5ECE"/>
    <w:rsid w:val="00FE7EB4"/>
    <w:rsid w:val="00FF0230"/>
    <w:rsid w:val="00FF2A54"/>
    <w:rsid w:val="00FF7812"/>
    <w:rsid w:val="0C417B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Style w:val="5"/>
      <w:tblCellMar>
        <w:top w:w="0" w:type="dxa"/>
        <w:left w:w="108" w:type="dxa"/>
        <w:bottom w:w="0" w:type="dxa"/>
        <w:right w:w="108" w:type="dxa"/>
      </w:tblCellMar>
    </w:tblPr>
    <w:trPr>
      <w:wBefore w:w="0" w:type="dxa"/>
    </w:trPr>
  </w:style>
  <w:style w:type="paragraph" w:styleId="2">
    <w:name w:val="footer"/>
    <w:basedOn w:val="1"/>
    <w:link w:val="10"/>
    <w:semiHidden/>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Emphasis"/>
    <w:qFormat/>
    <w:uiPriority w:val="20"/>
  </w:style>
  <w:style w:type="paragraph" w:customStyle="1" w:styleId="8">
    <w:name w:val="无间隔1"/>
    <w:qFormat/>
    <w:uiPriority w:val="1"/>
    <w:pPr>
      <w:widowControl w:val="0"/>
      <w:jc w:val="both"/>
    </w:pPr>
    <w:rPr>
      <w:rFonts w:cs="黑体"/>
      <w:szCs w:val="24"/>
      <w:lang w:val="en-US" w:eastAsia="zh-CN" w:bidi="ar-SA"/>
    </w:rPr>
  </w:style>
  <w:style w:type="character" w:customStyle="1" w:styleId="9">
    <w:name w:val="页眉 Char"/>
    <w:link w:val="3"/>
    <w:semiHidden/>
    <w:uiPriority w:val="99"/>
    <w:rPr>
      <w:sz w:val="18"/>
      <w:szCs w:val="18"/>
    </w:rPr>
  </w:style>
  <w:style w:type="character" w:customStyle="1" w:styleId="10">
    <w:name w:val="页脚 Char"/>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342</Words>
  <Characters>1951</Characters>
  <Lines>16</Lines>
  <Paragraphs>4</Paragraphs>
  <TotalTime>0</TotalTime>
  <ScaleCrop>false</ScaleCrop>
  <LinksUpToDate>false</LinksUpToDate>
  <CharactersWithSpaces>2289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2020-06-29T01:35:00Z</dcterms:created>
  <dc:creator>王正卿</dc:creator>
  <cp:lastModifiedBy>YF</cp:lastModifiedBy>
  <cp:lastPrinted>2020-06-26T03:06:00Z</cp:lastPrinted>
  <dcterms:modified xsi:type="dcterms:W3CDTF">2020-06-29T06:22:01Z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